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GXZC2025-G1-003038-JYZX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医用直线加速器</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广西医科大学第一附属医院</w:t>
      </w:r>
      <w:r>
        <w:rPr>
          <w:rFonts w:hint="eastAsia" w:ascii="仿宋_GB2312" w:hAnsi="宋体" w:eastAsia="仿宋_GB2312"/>
          <w:b/>
          <w:sz w:val="30"/>
          <w:szCs w:val="72"/>
        </w:rPr>
        <w:t>等</w:t>
      </w:r>
      <w:r>
        <w:rPr>
          <w:rFonts w:hint="eastAsia" w:ascii="仿宋_GB2312" w:hAnsi="宋体" w:eastAsia="仿宋_GB2312"/>
          <w:b/>
          <w:color w:val="auto"/>
          <w:sz w:val="30"/>
          <w:szCs w:val="72"/>
          <w:lang w:val="en-US" w:eastAsia="zh-CN"/>
        </w:rPr>
        <w:t>3</w:t>
      </w:r>
      <w:r>
        <w:rPr>
          <w:rFonts w:hint="eastAsia" w:ascii="仿宋_GB2312" w:hAnsi="宋体" w:eastAsia="仿宋_GB2312"/>
          <w:b/>
          <w:sz w:val="30"/>
          <w:szCs w:val="72"/>
        </w:rPr>
        <w:t>家</w:t>
      </w:r>
      <w:r>
        <w:rPr>
          <w:rFonts w:ascii="仿宋_GB2312" w:hAnsi="宋体" w:eastAsia="仿宋_GB2312"/>
          <w:b/>
          <w:sz w:val="30"/>
          <w:szCs w:val="72"/>
          <w:lang w:val="en"/>
        </w:rPr>
        <w:t>医</w:t>
      </w:r>
      <w:r>
        <w:rPr>
          <w:rFonts w:hint="eastAsia" w:ascii="仿宋_GB2312" w:hAnsi="宋体" w:eastAsia="仿宋_GB2312"/>
          <w:b/>
          <w:sz w:val="30"/>
          <w:szCs w:val="72"/>
          <w:lang w:val="en"/>
        </w:rPr>
        <w:t>疗机构</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11</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fmt="decimal"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52</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CN"/>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75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84</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Hlk24379207"/>
      <w:bookmarkStart w:id="2" w:name="_Toc28359079"/>
      <w:bookmarkStart w:id="3" w:name="_Toc35393621"/>
      <w:bookmarkStart w:id="4" w:name="_Toc28359002"/>
      <w:bookmarkStart w:id="5" w:name="_Toc35393790"/>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医用直线加速器</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2025年12月01日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09"/>
      <w:bookmarkStart w:id="7" w:name="_Toc28359086"/>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GXZC2025-G1-003038-JYZX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
        </w:rPr>
        <w:t>医用直线加速器</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eastAsia="zh-CN"/>
        </w:rPr>
        <w:t>：</w:t>
      </w:r>
      <w:r>
        <w:rPr>
          <w:rFonts w:hint="eastAsia" w:cs="宋体"/>
          <w:sz w:val="21"/>
          <w:szCs w:val="21"/>
          <w:highlight w:val="none"/>
          <w:lang w:val="en-US" w:eastAsia="zh-CN"/>
        </w:rPr>
        <w:t>7736</w:t>
      </w:r>
      <w:r>
        <w:rPr>
          <w:rFonts w:hint="eastAsia" w:cs="宋体"/>
          <w:sz w:val="21"/>
          <w:szCs w:val="21"/>
          <w:highlight w:val="none"/>
          <w:lang w:val="en-US" w:eastAsia="zh"/>
        </w:rPr>
        <w:t>0000</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标项一</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医用直线加速器(分标1)</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30000000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医用直线加速器(分标1)</w:t>
      </w:r>
      <w:r>
        <w:rPr>
          <w:rFonts w:hint="eastAsia" w:cs="宋体"/>
          <w:sz w:val="21"/>
          <w:szCs w:val="21"/>
          <w:shd w:val="clear"/>
          <w:lang w:val="en-US" w:eastAsia="zh-CN"/>
        </w:rPr>
        <w:t xml:space="preserve"> 1套</w:t>
      </w:r>
      <w:r>
        <w:rPr>
          <w:rFonts w:hint="eastAsia" w:cs="宋体"/>
          <w:sz w:val="21"/>
          <w:szCs w:val="21"/>
          <w:shd w:val="clear"/>
        </w:rPr>
        <w:t>。</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30000000</w:t>
      </w:r>
      <w:r>
        <w:rPr>
          <w:rFonts w:hint="eastAsia" w:cs="宋体"/>
          <w:sz w:val="21"/>
          <w:szCs w:val="21"/>
          <w:lang w:val="en-US" w:eastAsia="zh-CN"/>
        </w:rPr>
        <w:t>.00元</w:t>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r>
        <w:rPr>
          <w:rFonts w:hint="eastAsia" w:cs="宋体"/>
          <w:sz w:val="21"/>
          <w:szCs w:val="21"/>
          <w:shd w:val="clear"/>
        </w:rPr>
        <w:t xml:space="preserve">  </w:t>
      </w:r>
    </w:p>
    <w:p>
      <w:pPr>
        <w:pStyle w:val="50"/>
        <w:spacing w:before="75" w:beforeAutospacing="0" w:after="75" w:afterAutospacing="0" w:line="300" w:lineRule="atLeast"/>
        <w:ind w:firstLine="420" w:firstLineChars="200"/>
        <w:rPr>
          <w:rFonts w:hint="eastAsia" w:eastAsia="宋体" w:cs="宋体"/>
          <w:sz w:val="21"/>
          <w:szCs w:val="21"/>
          <w:shd w:val="clear"/>
          <w:lang w:val="en-US" w:eastAsia="zh-CN"/>
        </w:rPr>
      </w:pPr>
      <w:r>
        <w:rPr>
          <w:rFonts w:hint="eastAsia" w:cs="宋体"/>
          <w:sz w:val="21"/>
          <w:szCs w:val="21"/>
          <w:shd w:val="clear"/>
        </w:rPr>
        <w:t>标项二</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医用直线加速器(分标2)</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预算金额（元）</w:t>
      </w:r>
      <w:r>
        <w:rPr>
          <w:rFonts w:hint="eastAsia" w:cs="宋体"/>
          <w:sz w:val="21"/>
          <w:szCs w:val="21"/>
          <w:shd w:val="clear"/>
          <w:lang w:eastAsia="zh-CN"/>
        </w:rPr>
        <w:t>：</w:t>
      </w:r>
      <w:r>
        <w:rPr>
          <w:rFonts w:hint="eastAsia" w:cs="宋体"/>
          <w:sz w:val="21"/>
          <w:szCs w:val="21"/>
          <w:shd w:val="clear"/>
          <w:lang w:val="en-US" w:eastAsia="zh-CN"/>
        </w:rPr>
        <w:t>26360000</w:t>
      </w:r>
      <w:r>
        <w:rPr>
          <w:rFonts w:hint="eastAsia" w:cs="宋体"/>
          <w:sz w:val="21"/>
          <w:szCs w:val="21"/>
          <w:highlight w:val="yellow"/>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医用直线加速器(分标2)</w:t>
      </w:r>
      <w:r>
        <w:rPr>
          <w:rFonts w:hint="eastAsia" w:cs="宋体"/>
          <w:sz w:val="21"/>
          <w:szCs w:val="21"/>
          <w:shd w:val="clear"/>
          <w:lang w:val="en-US" w:eastAsia="zh-CN"/>
        </w:rPr>
        <w:t xml:space="preserve"> 1套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25000000.00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lang w:val="en-US" w:eastAsia="zh-CN"/>
        </w:rPr>
        <w:t xml:space="preserve">  </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shd w:val="clear"/>
        </w:rPr>
        <w:t>标项</w:t>
      </w:r>
      <w:r>
        <w:rPr>
          <w:rFonts w:hint="eastAsia" w:cs="宋体"/>
          <w:sz w:val="21"/>
          <w:szCs w:val="21"/>
          <w:shd w:val="clear"/>
          <w:lang w:eastAsia="zh-CN"/>
        </w:rPr>
        <w:t>三</w:t>
      </w:r>
      <w:r>
        <w:rPr>
          <w:rFonts w:hint="eastAsia" w:cs="宋体"/>
          <w:sz w:val="21"/>
          <w:szCs w:val="21"/>
          <w:shd w:val="clear"/>
        </w:rPr>
        <w:br w:type="textWrapping"/>
      </w:r>
      <w:r>
        <w:rPr>
          <w:rFonts w:hint="eastAsia" w:cs="宋体"/>
          <w:sz w:val="21"/>
          <w:szCs w:val="21"/>
          <w:shd w:val="clear"/>
        </w:rPr>
        <w:t xml:space="preserve">    标项名称：</w:t>
      </w:r>
      <w:r>
        <w:rPr>
          <w:rFonts w:hint="eastAsia" w:cs="宋体"/>
          <w:b w:val="0"/>
          <w:bCs w:val="0"/>
          <w:sz w:val="21"/>
          <w:szCs w:val="21"/>
          <w:lang w:eastAsia="zh"/>
        </w:rPr>
        <w:t>医用直线加速器(分标</w:t>
      </w:r>
      <w:r>
        <w:rPr>
          <w:rFonts w:hint="eastAsia" w:cs="宋体"/>
          <w:b w:val="0"/>
          <w:bCs w:val="0"/>
          <w:sz w:val="21"/>
          <w:szCs w:val="21"/>
          <w:lang w:val="en-US" w:eastAsia="zh"/>
        </w:rPr>
        <w:t>3</w:t>
      </w:r>
      <w:r>
        <w:rPr>
          <w:rFonts w:hint="eastAsia" w:cs="宋体"/>
          <w:b w:val="0"/>
          <w:bCs w:val="0"/>
          <w:sz w:val="21"/>
          <w:szCs w:val="21"/>
          <w:lang w:eastAsia="zh"/>
        </w:rPr>
        <w:t>)</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21000000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b w:val="0"/>
          <w:bCs w:val="0"/>
          <w:sz w:val="21"/>
          <w:szCs w:val="21"/>
          <w:lang w:eastAsia="zh"/>
        </w:rPr>
        <w:t>医用直线加速器(分标</w:t>
      </w:r>
      <w:r>
        <w:rPr>
          <w:rFonts w:hint="eastAsia" w:cs="宋体"/>
          <w:b w:val="0"/>
          <w:bCs w:val="0"/>
          <w:sz w:val="21"/>
          <w:szCs w:val="21"/>
          <w:lang w:val="en-US" w:eastAsia="zh"/>
        </w:rPr>
        <w:t>3</w:t>
      </w:r>
      <w:r>
        <w:rPr>
          <w:rFonts w:hint="eastAsia" w:cs="宋体"/>
          <w:b w:val="0"/>
          <w:bCs w:val="0"/>
          <w:sz w:val="21"/>
          <w:szCs w:val="21"/>
          <w:lang w:eastAsia="zh"/>
        </w:rPr>
        <w:t>)</w:t>
      </w:r>
      <w:r>
        <w:rPr>
          <w:rFonts w:hint="eastAsia" w:cs="宋体"/>
          <w:b w:val="0"/>
          <w:bCs w:val="0"/>
          <w:sz w:val="21"/>
          <w:szCs w:val="21"/>
          <w:lang w:val="en-US" w:eastAsia="zh"/>
        </w:rPr>
        <w:t xml:space="preserve"> </w:t>
      </w:r>
      <w:r>
        <w:rPr>
          <w:rFonts w:hint="eastAsia" w:cs="宋体"/>
          <w:b w:val="0"/>
          <w:bCs w:val="0"/>
          <w:sz w:val="21"/>
          <w:szCs w:val="21"/>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21000000.00</w:t>
      </w:r>
      <w:r>
        <w:rPr>
          <w:rFonts w:hint="eastAsia" w:cs="宋体"/>
          <w:sz w:val="21"/>
          <w:szCs w:val="21"/>
          <w:lang w:val="en-US" w:eastAsia="zh-CN"/>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ind w:firstLine="420" w:firstLineChars="200"/>
        <w:rPr>
          <w:rFonts w:hint="eastAsia" w:cs="宋体"/>
          <w:sz w:val="21"/>
          <w:szCs w:val="21"/>
          <w:shd w:val="clear"/>
        </w:rPr>
      </w:pPr>
      <w:r>
        <w:rPr>
          <w:rFonts w:hint="eastAsia" w:cs="宋体"/>
          <w:sz w:val="21"/>
          <w:szCs w:val="21"/>
          <w:shd w:val="clear"/>
        </w:rPr>
        <w:t>本标项（否）接受联合体投标</w:t>
      </w:r>
    </w:p>
    <w:p>
      <w:pPr>
        <w:pStyle w:val="50"/>
        <w:spacing w:before="75" w:beforeAutospacing="0" w:after="75" w:afterAutospacing="0"/>
        <w:ind w:firstLine="420"/>
        <w:rPr>
          <w:rFonts w:hint="eastAsia"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分标1、2、3：无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【分标1、2、3】</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rPr>
        <w:t>供应商为取得所投产品《医疗器械生产许可证》的生产企业；生产企业（或生产企业所在的集团公司）在中国关境内设立的具有独立法人资格的仅销售本生产企业（或生产企业所在的集团公司）产品的贸易公司（具有有效的医疗器械经营许可证）也可以参加投标，视同为生产企业。进口产品生产企业在我国境内的注册代理人可直接投标或授权一家国内代理商（具有有效的医疗器械经营许可证）代理投标，视同为生产企业。</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
        </w:rPr>
        <w:t>11</w:t>
      </w:r>
      <w:r>
        <w:rPr>
          <w:rStyle w:val="184"/>
          <w:rFonts w:cs="宋体"/>
          <w:b/>
          <w:bCs/>
          <w:sz w:val="21"/>
          <w:szCs w:val="21"/>
          <w:lang w:val="en"/>
        </w:rPr>
        <w:t>月</w:t>
      </w:r>
      <w:r>
        <w:rPr>
          <w:rStyle w:val="184"/>
          <w:rFonts w:hint="eastAsia" w:cs="宋体"/>
          <w:b/>
          <w:bCs/>
          <w:sz w:val="21"/>
          <w:szCs w:val="21"/>
          <w:lang w:val="en-US" w:eastAsia="zh"/>
        </w:rPr>
        <w:t>07</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
        </w:rPr>
        <w:t>11</w:t>
      </w:r>
      <w:r>
        <w:rPr>
          <w:rStyle w:val="315"/>
          <w:rFonts w:hint="eastAsia" w:cs="宋体"/>
          <w:b/>
          <w:bCs/>
          <w:sz w:val="21"/>
          <w:szCs w:val="21"/>
        </w:rPr>
        <w:t>月</w:t>
      </w:r>
      <w:r>
        <w:rPr>
          <w:rStyle w:val="315"/>
          <w:rFonts w:hint="eastAsia" w:cs="宋体"/>
          <w:b/>
          <w:bCs/>
          <w:sz w:val="21"/>
          <w:szCs w:val="21"/>
          <w:lang w:val="en-US" w:eastAsia="zh"/>
        </w:rPr>
        <w:t>14</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2025年12月01日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2025年12月01日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Style w:val="151"/>
          <w:rFonts w:hint="eastAsia" w:cs="宋体"/>
          <w:sz w:val="21"/>
          <w:szCs w:val="21"/>
        </w:rPr>
        <w:t>广西壮族自治区南宁市青秀区广西政府采购云平台开标大厅</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Fonts w:hint="eastAsia" w:cs="宋体"/>
          <w:sz w:val="21"/>
          <w:szCs w:val="21"/>
        </w:rPr>
      </w:pPr>
      <w:r>
        <w:rPr>
          <w:rFonts w:hint="eastAsia" w:cs="宋体"/>
          <w:sz w:val="21"/>
          <w:szCs w:val="21"/>
        </w:rPr>
        <w:t> </w:t>
      </w: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eastAsia" w:cs="宋体"/>
          <w:b/>
          <w:bCs/>
          <w:sz w:val="21"/>
          <w:szCs w:val="21"/>
          <w:lang w:val="en-US" w:eastAsia="zh-CN"/>
        </w:rPr>
        <w:t>1</w:t>
      </w:r>
      <w:r>
        <w:rPr>
          <w:rStyle w:val="265"/>
          <w:rFonts w:hint="eastAsia" w:cs="宋体"/>
          <w:sz w:val="21"/>
          <w:szCs w:val="21"/>
          <w:lang w:val="en-US" w:eastAsia="zh-C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30</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2：</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25</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b/>
          <w:bCs/>
          <w:color w:val="auto"/>
          <w:sz w:val="21"/>
          <w:szCs w:val="21"/>
          <w:lang w:eastAsia="zh-CN"/>
        </w:rPr>
        <w:t>；分标</w:t>
      </w:r>
      <w:r>
        <w:rPr>
          <w:rStyle w:val="265"/>
          <w:rFonts w:hint="eastAsia" w:cs="宋体"/>
          <w:b/>
          <w:bCs/>
          <w:color w:val="auto"/>
          <w:sz w:val="21"/>
          <w:szCs w:val="21"/>
          <w:lang w:val="en-US" w:eastAsia="zh-CN"/>
        </w:rPr>
        <w:t>3：</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21</w:t>
      </w:r>
      <w:r>
        <w:rPr>
          <w:rFonts w:hint="eastAsia" w:hAnsi="宋体" w:cs="宋体"/>
          <w:b/>
          <w:bCs/>
          <w:color w:val="auto"/>
          <w:kern w:val="0"/>
          <w:sz w:val="21"/>
          <w:szCs w:val="21"/>
          <w:highlight w:val="none"/>
          <w:u w:val="single"/>
          <w:lang w:val="en-US" w:eastAsia="zh-CN"/>
        </w:rPr>
        <w:t xml:space="preserve"> </w:t>
      </w:r>
      <w:r>
        <w:rPr>
          <w:rStyle w:val="265"/>
          <w:rFonts w:hint="eastAsia" w:cs="宋体"/>
          <w:b/>
          <w:bCs/>
          <w:color w:val="auto"/>
          <w:sz w:val="21"/>
          <w:szCs w:val="21"/>
        </w:rPr>
        <w:t>万元</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sz w:val="21"/>
          <w:szCs w:val="21"/>
          <w:lang w:val="en-US" w:eastAsia="zh-CN"/>
        </w:rPr>
        <w:t xml:space="preserve">    </w:t>
      </w:r>
      <w:r>
        <w:rPr>
          <w:rStyle w:val="265"/>
          <w:rFonts w:hint="eastAsia" w:cs="宋体"/>
          <w:sz w:val="21"/>
          <w:szCs w:val="21"/>
        </w:rPr>
        <w:t>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75" w:beforeAutospacing="0" w:after="75" w:afterAutospacing="0" w:line="300" w:lineRule="exact"/>
        <w:rPr>
          <w:rFonts w:hint="eastAsia" w:eastAsia="宋体" w:cs="宋体"/>
          <w:sz w:val="21"/>
          <w:szCs w:val="21"/>
          <w:lang w:eastAsia="zh-CN"/>
        </w:rPr>
      </w:pPr>
      <w:r>
        <w:rPr>
          <w:rFonts w:hint="eastAsia" w:cs="宋体"/>
          <w:sz w:val="21"/>
          <w:szCs w:val="21"/>
          <w:lang w:val="en-US" w:eastAsia="zh-CN"/>
        </w:rPr>
        <w:t>5</w:t>
      </w:r>
      <w:r>
        <w:rPr>
          <w:rFonts w:hint="eastAsia" w:cs="宋体"/>
          <w:sz w:val="21"/>
          <w:szCs w:val="21"/>
        </w:rPr>
        <w:t>.采购人信息</w:t>
      </w:r>
      <w:r>
        <w:rPr>
          <w:rFonts w:hint="eastAsia" w:cs="宋体"/>
          <w:sz w:val="21"/>
          <w:szCs w:val="21"/>
          <w:lang w:eastAsia="zh-CN"/>
        </w:rPr>
        <w:t>（详细）</w:t>
      </w:r>
    </w:p>
    <w:p>
      <w:pPr>
        <w:pStyle w:val="50"/>
        <w:spacing w:before="75" w:beforeAutospacing="0" w:after="75" w:afterAutospacing="0" w:line="300" w:lineRule="exact"/>
        <w:rPr>
          <w:rFonts w:hint="eastAsia" w:cs="宋体"/>
          <w:sz w:val="21"/>
          <w:szCs w:val="21"/>
          <w:lang w:val="en-US" w:eastAsia="zh-CN"/>
        </w:rPr>
      </w:pPr>
      <w:r>
        <w:rPr>
          <w:rFonts w:hint="eastAsia" w:cs="宋体"/>
          <w:sz w:val="21"/>
          <w:szCs w:val="21"/>
        </w:rPr>
        <w:t> </w:t>
      </w:r>
      <w:r>
        <w:rPr>
          <w:rFonts w:hint="eastAsia" w:cs="宋体"/>
          <w:sz w:val="21"/>
          <w:szCs w:val="21"/>
          <w:lang w:eastAsia="zh-CN"/>
        </w:rPr>
        <w:t>（</w:t>
      </w:r>
      <w:r>
        <w:rPr>
          <w:rFonts w:hint="eastAsia" w:cs="宋体"/>
          <w:sz w:val="21"/>
          <w:szCs w:val="21"/>
          <w:lang w:val="en-US" w:eastAsia="zh-CN"/>
        </w:rPr>
        <w:t>1</w:t>
      </w:r>
      <w:r>
        <w:rPr>
          <w:rFonts w:hint="eastAsia" w:cs="宋体"/>
          <w:sz w:val="21"/>
          <w:szCs w:val="21"/>
          <w:lang w:eastAsia="zh-CN"/>
        </w:rPr>
        <w:t>）分标</w:t>
      </w:r>
      <w:r>
        <w:rPr>
          <w:rFonts w:hint="eastAsia" w:cs="宋体"/>
          <w:sz w:val="21"/>
          <w:szCs w:val="21"/>
          <w:lang w:val="en-US" w:eastAsia="zh-CN"/>
        </w:rPr>
        <w:t>1：</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w:t>
      </w:r>
      <w:r>
        <w:rPr>
          <w:rFonts w:hint="eastAsia" w:cs="宋体"/>
          <w:sz w:val="21"/>
          <w:szCs w:val="21"/>
          <w:lang w:eastAsia="zh"/>
        </w:rPr>
        <w:t>广西医科大学第一附属医院</w:t>
      </w:r>
    </w:p>
    <w:p>
      <w:pPr>
        <w:pStyle w:val="50"/>
        <w:spacing w:before="75" w:beforeAutospacing="0" w:after="75" w:afterAutospacing="0" w:line="300" w:lineRule="exact"/>
        <w:rPr>
          <w:rFonts w:hint="eastAsia" w:cs="宋体"/>
          <w:sz w:val="21"/>
          <w:szCs w:val="21"/>
        </w:rPr>
      </w:pPr>
      <w:r>
        <w:rPr>
          <w:rFonts w:hint="eastAsia" w:cs="宋体"/>
          <w:sz w:val="21"/>
          <w:szCs w:val="21"/>
        </w:rPr>
        <w:t> 地    址：</w:t>
      </w:r>
      <w:r>
        <w:rPr>
          <w:rFonts w:hint="eastAsia" w:cs="宋体"/>
          <w:sz w:val="21"/>
          <w:szCs w:val="21"/>
          <w:lang w:val="en-US" w:eastAsia="zh-CN"/>
        </w:rPr>
        <w:t>广西南宁市双拥路6号</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徐老师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0771-5634385</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（2）</w:t>
      </w:r>
      <w:r>
        <w:rPr>
          <w:rFonts w:hint="eastAsia" w:cs="宋体"/>
          <w:sz w:val="21"/>
          <w:szCs w:val="21"/>
          <w:lang w:eastAsia="zh-CN"/>
        </w:rPr>
        <w:t>分标</w:t>
      </w:r>
      <w:r>
        <w:rPr>
          <w:rFonts w:hint="eastAsia" w:cs="宋体"/>
          <w:sz w:val="21"/>
          <w:szCs w:val="21"/>
          <w:lang w:val="en-US" w:eastAsia="zh-CN"/>
        </w:rPr>
        <w:t>2：</w:t>
      </w:r>
    </w:p>
    <w:p>
      <w:pPr>
        <w:pStyle w:val="50"/>
        <w:spacing w:before="75" w:beforeAutospacing="0" w:after="75" w:afterAutospacing="0" w:line="300" w:lineRule="exact"/>
        <w:ind w:firstLine="210" w:firstLineChars="100"/>
        <w:rPr>
          <w:rFonts w:hint="eastAsia" w:eastAsia="宋体" w:cs="宋体"/>
          <w:sz w:val="21"/>
          <w:szCs w:val="21"/>
          <w:lang w:val="en-US" w:eastAsia="zh-CN"/>
        </w:rPr>
      </w:pPr>
      <w:r>
        <w:rPr>
          <w:rFonts w:hint="eastAsia" w:cs="宋体"/>
          <w:sz w:val="21"/>
          <w:szCs w:val="21"/>
        </w:rPr>
        <w:t>名    称：</w:t>
      </w:r>
      <w:r>
        <w:rPr>
          <w:rFonts w:hint="eastAsia" w:cs="宋体"/>
          <w:sz w:val="21"/>
          <w:szCs w:val="21"/>
          <w:lang w:eastAsia="zh"/>
        </w:rPr>
        <w:t>柳州市工人医院</w:t>
      </w:r>
    </w:p>
    <w:p>
      <w:pPr>
        <w:pStyle w:val="50"/>
        <w:spacing w:before="75" w:beforeAutospacing="0" w:after="75" w:afterAutospacing="0" w:line="300" w:lineRule="exact"/>
        <w:rPr>
          <w:rFonts w:cs="宋体"/>
          <w:sz w:val="21"/>
          <w:szCs w:val="21"/>
          <w:highlight w:val="none"/>
        </w:rPr>
      </w:pPr>
      <w:r>
        <w:rPr>
          <w:rFonts w:hint="eastAsia" w:cs="宋体"/>
          <w:sz w:val="21"/>
          <w:szCs w:val="21"/>
          <w:highlight w:val="none"/>
        </w:rPr>
        <w:t> 地    址：</w:t>
      </w:r>
      <w:r>
        <w:rPr>
          <w:rFonts w:hint="eastAsia" w:cs="宋体"/>
          <w:sz w:val="21"/>
          <w:szCs w:val="21"/>
          <w:highlight w:val="none"/>
          <w:lang w:eastAsia="zh-CN"/>
        </w:rPr>
        <w:t>广西</w:t>
      </w:r>
      <w:r>
        <w:rPr>
          <w:rFonts w:hint="eastAsia" w:cs="宋体"/>
          <w:sz w:val="21"/>
          <w:szCs w:val="21"/>
          <w:highlight w:val="none"/>
        </w:rPr>
        <w:t>柳州市柳南区和平路156号 </w:t>
      </w:r>
    </w:p>
    <w:p>
      <w:pPr>
        <w:pStyle w:val="50"/>
        <w:spacing w:before="75" w:beforeAutospacing="0" w:after="75" w:afterAutospacing="0" w:line="300" w:lineRule="exact"/>
        <w:rPr>
          <w:rFonts w:hint="eastAsia" w:eastAsia="宋体" w:cs="宋体"/>
          <w:sz w:val="21"/>
          <w:szCs w:val="21"/>
          <w:highlight w:val="none"/>
          <w:lang w:eastAsia="zh-CN"/>
        </w:rPr>
      </w:pPr>
      <w:r>
        <w:rPr>
          <w:rFonts w:hint="eastAsia" w:cs="宋体"/>
          <w:sz w:val="21"/>
          <w:szCs w:val="21"/>
          <w:highlight w:val="none"/>
        </w:rPr>
        <w:t> 项目联系人：</w:t>
      </w:r>
      <w:r>
        <w:rPr>
          <w:rFonts w:hint="eastAsia" w:cs="宋体"/>
          <w:sz w:val="21"/>
          <w:szCs w:val="21"/>
          <w:highlight w:val="none"/>
          <w:lang w:eastAsia="zh-CN"/>
        </w:rPr>
        <w:t>王平</w:t>
      </w:r>
    </w:p>
    <w:p>
      <w:pPr>
        <w:pStyle w:val="50"/>
        <w:spacing w:before="75" w:beforeAutospacing="0" w:after="75" w:afterAutospacing="0" w:line="300" w:lineRule="exact"/>
        <w:rPr>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0772-3832133</w:t>
      </w:r>
    </w:p>
    <w:p>
      <w:pPr>
        <w:pStyle w:val="50"/>
        <w:spacing w:before="75" w:beforeAutospacing="0" w:after="75" w:afterAutospacing="0" w:line="300" w:lineRule="exact"/>
        <w:ind w:firstLine="210" w:firstLineChars="100"/>
        <w:rPr>
          <w:rFonts w:hint="eastAsia" w:cs="宋体"/>
          <w:sz w:val="21"/>
          <w:szCs w:val="21"/>
          <w:lang w:val="en-US" w:eastAsia="zh-CN"/>
        </w:rPr>
      </w:pPr>
      <w:r>
        <w:rPr>
          <w:rStyle w:val="272"/>
          <w:rFonts w:hint="eastAsia" w:cs="宋体"/>
          <w:sz w:val="21"/>
          <w:szCs w:val="21"/>
          <w:lang w:val="en-US" w:eastAsia="zh-CN"/>
        </w:rPr>
        <w:t>（3）</w:t>
      </w:r>
      <w:r>
        <w:rPr>
          <w:rFonts w:hint="eastAsia" w:cs="宋体"/>
          <w:sz w:val="21"/>
          <w:szCs w:val="21"/>
          <w:lang w:eastAsia="zh-CN"/>
        </w:rPr>
        <w:t>分标</w:t>
      </w:r>
      <w:r>
        <w:rPr>
          <w:rFonts w:hint="eastAsia" w:cs="宋体"/>
          <w:sz w:val="21"/>
          <w:szCs w:val="21"/>
          <w:lang w:val="en-US" w:eastAsia="zh-CN"/>
        </w:rPr>
        <w:t>3：</w:t>
      </w:r>
    </w:p>
    <w:p>
      <w:pPr>
        <w:pStyle w:val="50"/>
        <w:spacing w:before="75" w:beforeAutospacing="0" w:after="75" w:afterAutospacing="0" w:line="300" w:lineRule="exact"/>
        <w:ind w:firstLine="210" w:firstLineChars="100"/>
        <w:rPr>
          <w:rFonts w:hint="default" w:eastAsia="宋体" w:cs="宋体"/>
          <w:sz w:val="21"/>
          <w:szCs w:val="21"/>
          <w:lang w:val="en-US" w:eastAsia="zh-CN"/>
        </w:rPr>
      </w:pPr>
      <w:r>
        <w:rPr>
          <w:rFonts w:hint="eastAsia" w:cs="宋体"/>
          <w:sz w:val="21"/>
          <w:szCs w:val="21"/>
        </w:rPr>
        <w:t>名    称：玉林市第一人民医院</w:t>
      </w:r>
    </w:p>
    <w:p>
      <w:pPr>
        <w:pStyle w:val="50"/>
        <w:spacing w:before="75" w:beforeAutospacing="0" w:after="75" w:afterAutospacing="0" w:line="300" w:lineRule="exac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rPr>
        <w:t>玉林市教育中路495号 </w:t>
      </w:r>
    </w:p>
    <w:p>
      <w:pPr>
        <w:pStyle w:val="50"/>
        <w:spacing w:before="75" w:beforeAutospacing="0" w:after="75" w:afterAutospacing="0" w:line="300" w:lineRule="exact"/>
        <w:rPr>
          <w:rFonts w:cs="宋体"/>
          <w:sz w:val="21"/>
          <w:szCs w:val="21"/>
        </w:rPr>
      </w:pPr>
      <w:r>
        <w:rPr>
          <w:rFonts w:hint="eastAsia" w:cs="宋体"/>
          <w:sz w:val="21"/>
          <w:szCs w:val="21"/>
        </w:rPr>
        <w:t> 项目联系人：</w:t>
      </w:r>
      <w:r>
        <w:rPr>
          <w:rFonts w:hint="eastAsia" w:cs="宋体"/>
          <w:sz w:val="21"/>
          <w:szCs w:val="21"/>
          <w:lang w:eastAsia="zh-CN"/>
        </w:rPr>
        <w:t>刘莉莉</w:t>
      </w:r>
      <w:r>
        <w:rPr>
          <w:rFonts w:hint="eastAsia" w:cs="宋体"/>
          <w:sz w:val="21"/>
          <w:szCs w:val="21"/>
        </w:rPr>
        <w:t>  </w:t>
      </w:r>
    </w:p>
    <w:p>
      <w:pPr>
        <w:pStyle w:val="50"/>
        <w:spacing w:before="75" w:beforeAutospacing="0" w:after="75" w:afterAutospacing="0" w:line="300" w:lineRule="atLeast"/>
        <w:rPr>
          <w:rStyle w:val="272"/>
          <w:rFonts w:hint="default" w:eastAsia="宋体" w:cs="宋体"/>
          <w:sz w:val="21"/>
          <w:szCs w:val="21"/>
          <w:lang w:val="en-US" w:eastAsia="zh-CN"/>
        </w:rPr>
      </w:pPr>
      <w:r>
        <w:rPr>
          <w:rFonts w:hint="eastAsia" w:cs="宋体"/>
          <w:sz w:val="21"/>
          <w:szCs w:val="21"/>
        </w:rPr>
        <w:t> 项目联系方式：</w:t>
      </w:r>
      <w:r>
        <w:rPr>
          <w:rFonts w:hint="eastAsia" w:cs="宋体"/>
          <w:sz w:val="21"/>
          <w:szCs w:val="21"/>
          <w:lang w:val="en-US" w:eastAsia="zh-CN"/>
        </w:rPr>
        <w:t>0775-2693066</w:t>
      </w:r>
    </w:p>
    <w:p>
      <w:pPr>
        <w:pStyle w:val="50"/>
        <w:spacing w:before="255" w:beforeAutospacing="0" w:after="255" w:afterAutospacing="0" w:line="300" w:lineRule="exac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exact"/>
        <w:rPr>
          <w:rFonts w:cs="宋体"/>
          <w:sz w:val="21"/>
          <w:szCs w:val="21"/>
        </w:rPr>
      </w:pPr>
      <w:r>
        <w:rPr>
          <w:rFonts w:hint="eastAsia" w:cs="宋体"/>
          <w:sz w:val="21"/>
          <w:szCs w:val="21"/>
        </w:rPr>
        <w:t> 1.采购人信息</w:t>
      </w:r>
    </w:p>
    <w:p>
      <w:pPr>
        <w:pStyle w:val="50"/>
        <w:spacing w:before="75" w:beforeAutospacing="0" w:after="75" w:afterAutospacing="0" w:line="300" w:lineRule="exact"/>
        <w:rPr>
          <w:rFonts w:hint="default" w:eastAsia="宋体" w:cs="宋体"/>
          <w:sz w:val="21"/>
          <w:szCs w:val="21"/>
          <w:lang w:val="en-US" w:eastAsia="zh-CN"/>
        </w:rPr>
      </w:pPr>
      <w:r>
        <w:rPr>
          <w:rFonts w:hint="eastAsia" w:cs="宋体"/>
          <w:sz w:val="21"/>
          <w:szCs w:val="21"/>
        </w:rPr>
        <w:t> 名    称：</w:t>
      </w:r>
      <w:r>
        <w:rPr>
          <w:rFonts w:hint="eastAsia" w:cs="宋体"/>
          <w:sz w:val="21"/>
          <w:szCs w:val="21"/>
          <w:lang w:eastAsia="zh"/>
        </w:rPr>
        <w:t>广西医科大学第一附属医院</w:t>
      </w:r>
    </w:p>
    <w:p>
      <w:pPr>
        <w:pStyle w:val="50"/>
        <w:spacing w:before="75" w:beforeAutospacing="0" w:after="75" w:afterAutospacing="0" w:line="300" w:lineRule="exact"/>
        <w:rPr>
          <w:rFonts w:hint="eastAsia" w:cs="宋体"/>
          <w:sz w:val="21"/>
          <w:szCs w:val="21"/>
        </w:rPr>
      </w:pPr>
      <w:r>
        <w:rPr>
          <w:rFonts w:hint="eastAsia" w:cs="宋体"/>
          <w:sz w:val="21"/>
          <w:szCs w:val="21"/>
        </w:rPr>
        <w:t> 地    址：</w:t>
      </w:r>
      <w:r>
        <w:rPr>
          <w:rFonts w:hint="eastAsia" w:cs="宋体"/>
          <w:sz w:val="21"/>
          <w:szCs w:val="21"/>
          <w:lang w:val="en-US" w:eastAsia="zh-CN"/>
        </w:rPr>
        <w:t>广西南宁市双拥路6号</w:t>
      </w:r>
    </w:p>
    <w:p>
      <w:pPr>
        <w:pStyle w:val="50"/>
        <w:spacing w:before="75" w:beforeAutospacing="0" w:after="75" w:afterAutospacing="0" w:line="300" w:lineRule="exact"/>
        <w:rPr>
          <w:rFonts w:hint="eastAsia" w:eastAsia="宋体" w:cs="宋体"/>
          <w:sz w:val="21"/>
          <w:szCs w:val="21"/>
          <w:highlight w:val="none"/>
          <w:lang w:val="en-US" w:eastAsia="zh-CN"/>
        </w:rPr>
      </w:pPr>
      <w:r>
        <w:rPr>
          <w:rFonts w:hint="eastAsia" w:cs="宋体"/>
          <w:sz w:val="21"/>
          <w:szCs w:val="21"/>
        </w:rPr>
        <w:t> </w:t>
      </w:r>
      <w:r>
        <w:rPr>
          <w:rFonts w:hint="eastAsia" w:cs="宋体"/>
          <w:sz w:val="21"/>
          <w:szCs w:val="21"/>
          <w:highlight w:val="none"/>
        </w:rPr>
        <w:t>项目联系人：</w:t>
      </w:r>
      <w:r>
        <w:rPr>
          <w:rFonts w:hint="eastAsia" w:cs="宋体"/>
          <w:sz w:val="21"/>
          <w:szCs w:val="21"/>
          <w:highlight w:val="none"/>
          <w:lang w:eastAsia="zh-CN"/>
        </w:rPr>
        <w:t>徐老师</w:t>
      </w:r>
    </w:p>
    <w:p>
      <w:pPr>
        <w:pStyle w:val="50"/>
        <w:spacing w:before="75" w:beforeAutospacing="0" w:after="75" w:afterAutospacing="0" w:line="300" w:lineRule="exact"/>
        <w:rPr>
          <w:rStyle w:val="272"/>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0771-5634385</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8600361、8600308</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
        </w:rPr>
        <w:t>11</w:t>
      </w:r>
      <w:r>
        <w:rPr>
          <w:rStyle w:val="184"/>
          <w:rFonts w:ascii="宋体" w:hAnsi="宋体" w:cs="宋体"/>
          <w:szCs w:val="21"/>
          <w:lang w:val="en"/>
        </w:rPr>
        <w:t>月</w:t>
      </w:r>
      <w:r>
        <w:rPr>
          <w:rStyle w:val="184"/>
          <w:rFonts w:hint="eastAsia" w:ascii="宋体" w:hAnsi="宋体" w:cs="宋体"/>
          <w:szCs w:val="21"/>
          <w:lang w:val="en-US" w:eastAsia="zh"/>
        </w:rPr>
        <w:t>07</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p>
    <w:p>
      <w:pPr>
        <w:ind w:firstLine="420"/>
        <w:rPr>
          <w:rStyle w:val="191"/>
          <w:rFonts w:hint="eastAsia" w:ascii="宋体" w:hAnsi="宋体"/>
          <w:b/>
          <w:bCs/>
          <w:color w:val="auto"/>
          <w:sz w:val="21"/>
          <w:szCs w:val="21"/>
          <w:u w:val="none"/>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eastAsia="zh"/>
        </w:rPr>
        <w:t>医用直线加速器(分标1)</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3000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3000</w:t>
      </w:r>
      <w:r>
        <w:rPr>
          <w:rFonts w:hint="eastAsia"/>
          <w:color w:val="auto"/>
          <w:lang w:eastAsia="zh-CN"/>
        </w:rPr>
        <w:t>万元（</w:t>
      </w:r>
      <w:r>
        <w:rPr>
          <w:rFonts w:hint="eastAsia"/>
          <w:color w:val="auto"/>
          <w:lang w:val="en-US" w:eastAsia="zh-CN"/>
        </w:rPr>
        <w:t>3000</w:t>
      </w:r>
      <w:r>
        <w:rPr>
          <w:rFonts w:hint="eastAsia"/>
          <w:color w:val="auto"/>
          <w:lang w:eastAsia="zh-CN"/>
        </w:rPr>
        <w:t>万元/套）</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医用直线加速器(分标1)</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auto"/>
              <w:rPr>
                <w:rFonts w:hint="eastAsia" w:ascii="宋体" w:hAnsi="宋体" w:cs="宋体"/>
                <w:szCs w:val="21"/>
              </w:rPr>
            </w:pPr>
            <w:r>
              <w:rPr>
                <w:rFonts w:hint="eastAsia" w:ascii="宋体" w:hAnsi="宋体" w:cs="宋体"/>
                <w:szCs w:val="21"/>
              </w:rPr>
              <w:t>1放射治疗设备要求概述</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本次招标标的为一套在线自适应放射治疗系统，含直线加速器及配套软件系统，包括放射治疗计划系统（含医生工作站及物理师工作站）、放疗质控系统、肿瘤信息管理系统以及其他支持系统运行所必需的软件和硬件</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▲1.2投标方应进行现场勘察，根据勘察情况提供适合现有备选加速器机房的空间、承重、防护、运输通道尺寸与承重等条件的机型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1.3投标方针对所投设备满足现场条件（空间、承重、防护、运输通道尺寸与承重等）提供注册证、技术白皮书、勘探图纸等支撑材料和书面承诺函。如所投机型无法满足现场条件，投标方承担相关责任，采购人有权终止合同</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2机架运动系统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2.1</w:t>
            </w:r>
            <w:r>
              <w:rPr>
                <w:rFonts w:hint="eastAsia" w:ascii="宋体" w:hAnsi="宋体" w:cs="宋体"/>
                <w:szCs w:val="21"/>
              </w:rPr>
              <w:tab/>
            </w:r>
            <w:r>
              <w:rPr>
                <w:rFonts w:hint="eastAsia" w:ascii="宋体" w:hAnsi="宋体" w:cs="宋体"/>
                <w:szCs w:val="21"/>
              </w:rPr>
              <w:t>机架结构</w:t>
            </w:r>
            <w:r>
              <w:rPr>
                <w:rFonts w:hint="eastAsia" w:ascii="宋体" w:hAnsi="宋体" w:cs="宋体"/>
                <w:szCs w:val="21"/>
                <w:lang w:eastAsia="zh-CN"/>
              </w:rPr>
              <w:t>：</w:t>
            </w:r>
            <w:r>
              <w:rPr>
                <w:rFonts w:hint="eastAsia" w:ascii="宋体" w:hAnsi="宋体" w:cs="宋体"/>
                <w:szCs w:val="21"/>
              </w:rPr>
              <w:t>环形机架或C型机架</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▲2.2机架旋转角度</w:t>
            </w:r>
            <w:r>
              <w:rPr>
                <w:rFonts w:hint="eastAsia" w:ascii="宋体" w:hAnsi="宋体" w:cs="宋体"/>
                <w:szCs w:val="21"/>
                <w:lang w:eastAsia="zh-CN"/>
              </w:rPr>
              <w:t>：</w:t>
            </w:r>
            <w:r>
              <w:rPr>
                <w:rFonts w:hint="eastAsia" w:ascii="宋体" w:hAnsi="宋体" w:cs="宋体"/>
                <w:szCs w:val="21"/>
              </w:rPr>
              <w:t>≥360°</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2.3环形机架旋转速度≥4RPM或C型机架≥1RPM</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★2.4机械等中心精度（机架+治疗头）环形机架≤0.5mm或C型机架：综合等中心精度（机架、治疗头、辐射野、治疗床）≤0.75mm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2.5治疗头孔径</w:t>
            </w:r>
            <w:r>
              <w:rPr>
                <w:rFonts w:hint="eastAsia" w:ascii="宋体" w:hAnsi="宋体" w:cs="宋体"/>
                <w:szCs w:val="21"/>
                <w:lang w:eastAsia="zh-CN"/>
              </w:rPr>
              <w:t>：</w:t>
            </w:r>
            <w:r>
              <w:rPr>
                <w:rFonts w:hint="eastAsia" w:ascii="宋体" w:hAnsi="宋体" w:cs="宋体"/>
                <w:szCs w:val="21"/>
              </w:rPr>
              <w:t>≥90cm±1cm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2.6治疗净空间半径</w:t>
            </w:r>
            <w:r>
              <w:rPr>
                <w:rFonts w:hint="eastAsia" w:ascii="宋体" w:hAnsi="宋体" w:cs="宋体"/>
                <w:szCs w:val="21"/>
                <w:lang w:eastAsia="zh-CN"/>
              </w:rPr>
              <w:t>：</w:t>
            </w:r>
            <w:r>
              <w:rPr>
                <w:rFonts w:hint="eastAsia" w:ascii="宋体" w:hAnsi="宋体" w:cs="宋体"/>
                <w:szCs w:val="21"/>
              </w:rPr>
              <w:t>环形机架≥50cm或C型机架≥45cm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2.7机架旋转精度</w:t>
            </w:r>
            <w:r>
              <w:rPr>
                <w:rFonts w:hint="eastAsia" w:ascii="宋体" w:hAnsi="宋体" w:cs="宋体"/>
                <w:szCs w:val="21"/>
                <w:lang w:eastAsia="zh-CN"/>
              </w:rPr>
              <w:t>：</w:t>
            </w:r>
            <w:r>
              <w:rPr>
                <w:rFonts w:hint="eastAsia" w:ascii="宋体" w:hAnsi="宋体" w:cs="宋体"/>
                <w:szCs w:val="21"/>
              </w:rPr>
              <w:t>≤0.5°</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2.8机架、准直器和治疗床等中心精度</w:t>
            </w:r>
            <w:r>
              <w:rPr>
                <w:rFonts w:hint="eastAsia" w:ascii="宋体" w:hAnsi="宋体" w:cs="宋体"/>
                <w:szCs w:val="21"/>
                <w:lang w:eastAsia="zh-CN"/>
              </w:rPr>
              <w:t>：</w:t>
            </w:r>
            <w:r>
              <w:rPr>
                <w:rFonts w:hint="eastAsia" w:ascii="宋体" w:hAnsi="宋体" w:cs="宋体"/>
                <w:szCs w:val="21"/>
              </w:rPr>
              <w:t>≤0.75mm</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3束流系统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3.1加速管类型</w:t>
            </w:r>
            <w:r>
              <w:rPr>
                <w:rFonts w:hint="eastAsia" w:ascii="宋体" w:hAnsi="宋体" w:cs="宋体"/>
                <w:szCs w:val="21"/>
                <w:lang w:eastAsia="zh-CN"/>
              </w:rPr>
              <w:t>：</w:t>
            </w:r>
            <w:r>
              <w:rPr>
                <w:rFonts w:hint="eastAsia" w:ascii="宋体" w:hAnsi="宋体" w:cs="宋体"/>
                <w:szCs w:val="21"/>
              </w:rPr>
              <w:t>驻波或行波</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3.2电子枪</w:t>
            </w:r>
            <w:r>
              <w:rPr>
                <w:rFonts w:hint="eastAsia" w:ascii="宋体" w:hAnsi="宋体" w:cs="宋体"/>
                <w:szCs w:val="21"/>
                <w:lang w:eastAsia="zh-CN"/>
              </w:rPr>
              <w:t>：</w:t>
            </w:r>
            <w:r>
              <w:rPr>
                <w:rFonts w:hint="eastAsia" w:ascii="宋体" w:hAnsi="宋体" w:cs="宋体"/>
                <w:szCs w:val="21"/>
              </w:rPr>
              <w:t>栅控三极电子枪或数字化二级电子枪</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3.3微波功率装置</w:t>
            </w:r>
            <w:r>
              <w:rPr>
                <w:rFonts w:hint="eastAsia" w:ascii="宋体" w:hAnsi="宋体" w:cs="宋体"/>
                <w:szCs w:val="21"/>
                <w:lang w:eastAsia="zh-CN"/>
              </w:rPr>
              <w:t>：</w:t>
            </w:r>
            <w:r>
              <w:rPr>
                <w:rFonts w:hint="eastAsia" w:ascii="宋体" w:hAnsi="宋体" w:cs="宋体"/>
                <w:szCs w:val="21"/>
              </w:rPr>
              <w:t>磁控管</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3.4微波功率源输出峰值功率</w:t>
            </w:r>
            <w:r>
              <w:rPr>
                <w:rFonts w:hint="eastAsia" w:ascii="宋体" w:hAnsi="宋体" w:cs="宋体"/>
                <w:szCs w:val="21"/>
                <w:lang w:eastAsia="zh-CN"/>
              </w:rPr>
              <w:t>：</w:t>
            </w:r>
            <w:r>
              <w:rPr>
                <w:rFonts w:hint="eastAsia" w:ascii="宋体" w:hAnsi="宋体" w:cs="宋体"/>
                <w:szCs w:val="21"/>
              </w:rPr>
              <w:t>≥2.6MW</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3.5</w:t>
            </w:r>
            <w:r>
              <w:rPr>
                <w:rFonts w:hint="eastAsia" w:ascii="宋体" w:hAnsi="宋体" w:cs="宋体"/>
                <w:szCs w:val="21"/>
              </w:rPr>
              <w:tab/>
            </w:r>
            <w:r>
              <w:rPr>
                <w:rFonts w:hint="eastAsia" w:ascii="宋体" w:hAnsi="宋体" w:cs="宋体"/>
                <w:szCs w:val="21"/>
              </w:rPr>
              <w:t>6MV X射线具备FFF非均整模式</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 xml:space="preserve">6 </w:t>
            </w:r>
            <w:r>
              <w:rPr>
                <w:rFonts w:hint="eastAsia" w:ascii="宋体" w:hAnsi="宋体" w:cs="宋体"/>
                <w:szCs w:val="21"/>
              </w:rPr>
              <w:t>6MV X射线最大非均整（FFF）剂量率</w:t>
            </w:r>
            <w:r>
              <w:rPr>
                <w:rFonts w:hint="eastAsia" w:ascii="宋体" w:hAnsi="宋体" w:cs="宋体"/>
                <w:szCs w:val="21"/>
                <w:lang w:eastAsia="zh-CN"/>
              </w:rPr>
              <w:t>：</w:t>
            </w:r>
            <w:r>
              <w:rPr>
                <w:rFonts w:hint="eastAsia" w:ascii="宋体" w:hAnsi="宋体" w:cs="宋体"/>
                <w:szCs w:val="21"/>
              </w:rPr>
              <w:t>≥1200MU/min</w:t>
            </w:r>
            <w:r>
              <w:rPr>
                <w:rFonts w:hint="eastAsia" w:ascii="宋体" w:hAnsi="宋体" w:cs="宋体"/>
                <w:szCs w:val="21"/>
                <w:lang w:eastAsia="zh-CN"/>
              </w:rPr>
              <w:t>；</w:t>
            </w:r>
          </w:p>
          <w:p>
            <w:pPr>
              <w:textAlignment w:val="auto"/>
              <w:rPr>
                <w:rFonts w:hint="eastAsia" w:ascii="宋体" w:hAnsi="宋体" w:cs="宋体"/>
                <w:szCs w:val="21"/>
                <w:lang w:eastAsia="zh-CN"/>
              </w:rPr>
            </w:pPr>
            <w:r>
              <w:rPr>
                <w:rFonts w:hint="eastAsia" w:ascii="宋体" w:hAnsi="宋体" w:cs="宋体"/>
                <w:szCs w:val="21"/>
              </w:rPr>
              <w:t>3.</w:t>
            </w:r>
            <w:r>
              <w:rPr>
                <w:rFonts w:hint="eastAsia" w:ascii="宋体" w:hAnsi="宋体" w:cs="宋体"/>
                <w:szCs w:val="21"/>
                <w:lang w:val="en-US" w:eastAsia="zh-CN"/>
              </w:rPr>
              <w:t xml:space="preserve">7 </w:t>
            </w:r>
            <w:r>
              <w:rPr>
                <w:rFonts w:hint="eastAsia" w:ascii="宋体" w:hAnsi="宋体" w:cs="宋体"/>
                <w:szCs w:val="21"/>
              </w:rPr>
              <w:t>X射线对称性</w:t>
            </w:r>
            <w:r>
              <w:rPr>
                <w:rFonts w:hint="eastAsia" w:ascii="宋体" w:hAnsi="宋体" w:cs="宋体"/>
                <w:szCs w:val="21"/>
                <w:lang w:eastAsia="zh-CN"/>
              </w:rPr>
              <w:t>：</w:t>
            </w:r>
            <w:r>
              <w:rPr>
                <w:rFonts w:hint="eastAsia" w:ascii="宋体" w:hAnsi="宋体" w:cs="宋体"/>
                <w:szCs w:val="21"/>
              </w:rPr>
              <w:t>≤102%</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8</w:t>
            </w:r>
            <w:r>
              <w:rPr>
                <w:rFonts w:hint="eastAsia" w:ascii="宋体" w:hAnsi="宋体" w:cs="宋体"/>
                <w:szCs w:val="21"/>
              </w:rPr>
              <w:t>剂量重复性</w:t>
            </w: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9</w:t>
            </w:r>
            <w:r>
              <w:rPr>
                <w:rFonts w:hint="eastAsia" w:ascii="宋体" w:hAnsi="宋体" w:cs="宋体"/>
                <w:szCs w:val="21"/>
              </w:rPr>
              <w:t>剂量线性度</w:t>
            </w: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10</w:t>
            </w:r>
            <w:r>
              <w:rPr>
                <w:rFonts w:hint="eastAsia" w:ascii="宋体" w:hAnsi="宋体" w:cs="宋体"/>
                <w:szCs w:val="21"/>
              </w:rPr>
              <w:t>最大射野尺寸</w:t>
            </w:r>
            <w:r>
              <w:rPr>
                <w:rFonts w:hint="eastAsia" w:ascii="宋体" w:hAnsi="宋体" w:cs="宋体"/>
                <w:szCs w:val="21"/>
                <w:lang w:eastAsia="zh-CN"/>
              </w:rPr>
              <w:t>：</w:t>
            </w:r>
            <w:r>
              <w:rPr>
                <w:rFonts w:hint="eastAsia" w:ascii="宋体" w:hAnsi="宋体" w:cs="宋体"/>
                <w:szCs w:val="21"/>
              </w:rPr>
              <w:t>≥40cm×40cm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3.1</w:t>
            </w:r>
            <w:r>
              <w:rPr>
                <w:rFonts w:hint="eastAsia" w:ascii="宋体" w:hAnsi="宋体" w:cs="宋体"/>
                <w:szCs w:val="21"/>
                <w:lang w:val="en-US" w:eastAsia="zh-CN"/>
              </w:rPr>
              <w:t>1</w:t>
            </w:r>
            <w:r>
              <w:rPr>
                <w:rFonts w:hint="eastAsia" w:ascii="宋体" w:hAnsi="宋体" w:cs="宋体"/>
                <w:szCs w:val="21"/>
              </w:rPr>
              <w:t>最小射野尺寸</w:t>
            </w:r>
            <w:r>
              <w:rPr>
                <w:rFonts w:hint="eastAsia" w:ascii="宋体" w:hAnsi="宋体" w:cs="宋体"/>
                <w:szCs w:val="21"/>
                <w:lang w:eastAsia="zh-CN"/>
              </w:rPr>
              <w:t>：</w:t>
            </w:r>
            <w:r>
              <w:rPr>
                <w:rFonts w:hint="eastAsia" w:ascii="宋体" w:hAnsi="宋体" w:cs="宋体"/>
                <w:szCs w:val="21"/>
              </w:rPr>
              <w:t>≤0.5cm×0.5cm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3.1</w:t>
            </w:r>
            <w:r>
              <w:rPr>
                <w:rFonts w:hint="eastAsia" w:ascii="宋体" w:hAnsi="宋体" w:cs="宋体"/>
                <w:szCs w:val="21"/>
                <w:lang w:val="en-US" w:eastAsia="zh-CN"/>
              </w:rPr>
              <w:t>2</w:t>
            </w:r>
            <w:r>
              <w:rPr>
                <w:rFonts w:hint="eastAsia" w:ascii="宋体" w:hAnsi="宋体" w:cs="宋体"/>
                <w:szCs w:val="21"/>
              </w:rPr>
              <w:t>若系统自带屏蔽系统，屏蔽主射线</w:t>
            </w:r>
            <w:r>
              <w:rPr>
                <w:rFonts w:hint="eastAsia" w:ascii="宋体" w:hAnsi="宋体" w:cs="宋体"/>
                <w:szCs w:val="21"/>
                <w:lang w:eastAsia="zh-CN"/>
              </w:rPr>
              <w:t>：</w:t>
            </w:r>
            <w:r>
              <w:rPr>
                <w:rFonts w:hint="eastAsia" w:ascii="宋体" w:hAnsi="宋体" w:cs="宋体"/>
                <w:szCs w:val="21"/>
              </w:rPr>
              <w:t>透射率≤0.2%，厚度≥17cm</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4剂量监测系统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4.1电离室结构</w:t>
            </w:r>
            <w:r>
              <w:rPr>
                <w:rFonts w:hint="eastAsia" w:ascii="宋体" w:hAnsi="宋体" w:cs="宋体"/>
                <w:szCs w:val="21"/>
                <w:lang w:eastAsia="zh-CN"/>
              </w:rPr>
              <w:t>：</w:t>
            </w:r>
            <w:r>
              <w:rPr>
                <w:rFonts w:hint="eastAsia" w:ascii="宋体" w:hAnsi="宋体" w:cs="宋体"/>
                <w:szCs w:val="21"/>
              </w:rPr>
              <w:t>封闭式电离室</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4.2电离室通道数设计</w:t>
            </w:r>
            <w:r>
              <w:rPr>
                <w:rFonts w:hint="eastAsia" w:ascii="宋体" w:hAnsi="宋体" w:cs="宋体"/>
                <w:szCs w:val="21"/>
                <w:lang w:eastAsia="zh-CN"/>
              </w:rPr>
              <w:t>：</w:t>
            </w:r>
            <w:r>
              <w:rPr>
                <w:rFonts w:hint="eastAsia" w:ascii="宋体" w:hAnsi="宋体" w:cs="宋体"/>
                <w:szCs w:val="21"/>
              </w:rPr>
              <w:t>双通道电离室或开放式</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4.3电离室自动校正</w:t>
            </w:r>
            <w:r>
              <w:rPr>
                <w:rFonts w:hint="eastAsia" w:ascii="宋体" w:hAnsi="宋体" w:cs="宋体"/>
                <w:szCs w:val="21"/>
                <w:lang w:eastAsia="zh-CN"/>
              </w:rPr>
              <w:t>：</w:t>
            </w:r>
            <w:r>
              <w:rPr>
                <w:rFonts w:hint="eastAsia" w:ascii="宋体" w:hAnsi="宋体" w:cs="宋体"/>
                <w:szCs w:val="21"/>
              </w:rPr>
              <w:t>电离室具备温度气压自动校正功能</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4.4剂量安全连锁系统</w:t>
            </w:r>
            <w:r>
              <w:rPr>
                <w:rFonts w:hint="eastAsia" w:ascii="宋体" w:hAnsi="宋体" w:cs="宋体"/>
                <w:szCs w:val="21"/>
                <w:lang w:eastAsia="zh-CN"/>
              </w:rPr>
              <w:t>：</w:t>
            </w:r>
            <w:r>
              <w:rPr>
                <w:rFonts w:hint="eastAsia" w:ascii="宋体" w:hAnsi="宋体" w:cs="宋体"/>
                <w:szCs w:val="21"/>
              </w:rPr>
              <w:t>具有安全联锁自动装置</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准直器系统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5.1准直器旋转精度</w:t>
            </w:r>
            <w:r>
              <w:rPr>
                <w:rFonts w:hint="eastAsia" w:ascii="宋体" w:hAnsi="宋体" w:cs="宋体"/>
                <w:szCs w:val="21"/>
                <w:lang w:eastAsia="zh-CN"/>
              </w:rPr>
              <w:t>：</w:t>
            </w:r>
            <w:r>
              <w:rPr>
                <w:rFonts w:hint="eastAsia" w:ascii="宋体" w:hAnsi="宋体" w:cs="宋体"/>
                <w:szCs w:val="21"/>
              </w:rPr>
              <w:t>≤0.5°</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5.2准直器旋转重复性</w:t>
            </w:r>
            <w:r>
              <w:rPr>
                <w:rFonts w:hint="eastAsia" w:ascii="宋体" w:hAnsi="宋体" w:cs="宋体"/>
                <w:szCs w:val="21"/>
                <w:lang w:eastAsia="zh-CN"/>
              </w:rPr>
              <w:t>：</w:t>
            </w:r>
            <w:r>
              <w:rPr>
                <w:rFonts w:hint="eastAsia" w:ascii="宋体" w:hAnsi="宋体" w:cs="宋体"/>
                <w:szCs w:val="21"/>
              </w:rPr>
              <w:t>≤0.3°</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5.3准直器最大旋转速度</w:t>
            </w:r>
            <w:r>
              <w:rPr>
                <w:rFonts w:hint="eastAsia" w:ascii="宋体" w:hAnsi="宋体" w:cs="宋体"/>
                <w:szCs w:val="21"/>
                <w:lang w:eastAsia="zh-CN"/>
              </w:rPr>
              <w:t>：</w:t>
            </w:r>
            <w:r>
              <w:rPr>
                <w:rFonts w:hint="eastAsia" w:ascii="宋体" w:hAnsi="宋体" w:cs="宋体"/>
                <w:szCs w:val="21"/>
              </w:rPr>
              <w:t>≥2RPM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5.4叶片最大移动速度</w:t>
            </w:r>
            <w:r>
              <w:rPr>
                <w:rFonts w:hint="eastAsia" w:ascii="宋体" w:hAnsi="宋体" w:cs="宋体"/>
                <w:szCs w:val="21"/>
                <w:lang w:eastAsia="zh-CN"/>
              </w:rPr>
              <w:t>：</w:t>
            </w:r>
            <w:r>
              <w:rPr>
                <w:rFonts w:hint="eastAsia" w:ascii="宋体" w:hAnsi="宋体" w:cs="宋体"/>
                <w:szCs w:val="21"/>
              </w:rPr>
              <w:t>≥5cm/s</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5.5叶片在等中心平面的最小投影宽度</w:t>
            </w:r>
            <w:r>
              <w:rPr>
                <w:rFonts w:hint="eastAsia" w:ascii="宋体" w:hAnsi="宋体" w:cs="宋体"/>
                <w:szCs w:val="21"/>
                <w:lang w:eastAsia="zh-CN"/>
              </w:rPr>
              <w:t>：</w:t>
            </w:r>
            <w:r>
              <w:rPr>
                <w:rFonts w:hint="eastAsia" w:ascii="宋体" w:hAnsi="宋体" w:cs="宋体"/>
                <w:szCs w:val="21"/>
              </w:rPr>
              <w:t>≤5mm±0.2mm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5.6叶片数量</w:t>
            </w:r>
            <w:r>
              <w:rPr>
                <w:rFonts w:hint="eastAsia" w:ascii="宋体" w:hAnsi="宋体" w:cs="宋体"/>
                <w:szCs w:val="21"/>
                <w:lang w:eastAsia="zh-CN"/>
              </w:rPr>
              <w:t>：</w:t>
            </w:r>
            <w:r>
              <w:rPr>
                <w:rFonts w:hint="eastAsia" w:ascii="宋体" w:hAnsi="宋体" w:cs="宋体"/>
                <w:szCs w:val="21"/>
              </w:rPr>
              <w:t>≥114片</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5.7叶片过中心线最大距离</w:t>
            </w:r>
            <w:r>
              <w:rPr>
                <w:rFonts w:hint="eastAsia" w:ascii="宋体" w:hAnsi="宋体" w:cs="宋体"/>
                <w:szCs w:val="21"/>
                <w:lang w:eastAsia="zh-CN"/>
              </w:rPr>
              <w:t>：</w:t>
            </w:r>
            <w:r>
              <w:rPr>
                <w:rFonts w:hint="eastAsia" w:ascii="宋体" w:hAnsi="宋体" w:cs="宋体"/>
                <w:szCs w:val="21"/>
              </w:rPr>
              <w:t>≥14cm，增加动态治疗射野范围</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5.8叶片到位精度</w:t>
            </w:r>
            <w:r>
              <w:rPr>
                <w:rFonts w:hint="eastAsia" w:ascii="宋体" w:hAnsi="宋体" w:cs="宋体"/>
                <w:szCs w:val="21"/>
                <w:lang w:eastAsia="zh-CN"/>
              </w:rPr>
              <w:t>：</w:t>
            </w:r>
            <w:r>
              <w:rPr>
                <w:rFonts w:hint="eastAsia" w:ascii="宋体" w:hAnsi="宋体" w:cs="宋体"/>
                <w:szCs w:val="21"/>
              </w:rPr>
              <w:t>≤±1.0mm</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6治疗床系统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6.1治疗床</w:t>
            </w:r>
            <w:r>
              <w:rPr>
                <w:rFonts w:hint="eastAsia" w:ascii="宋体" w:hAnsi="宋体" w:cs="宋体"/>
                <w:szCs w:val="21"/>
                <w:lang w:eastAsia="zh-CN"/>
              </w:rPr>
              <w:t>：</w:t>
            </w:r>
            <w:r>
              <w:rPr>
                <w:rFonts w:hint="eastAsia" w:ascii="宋体" w:hAnsi="宋体" w:cs="宋体"/>
                <w:szCs w:val="21"/>
              </w:rPr>
              <w:t>全碳纤维中空床板，并可在控制室遥控</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6.2运动维度</w:t>
            </w:r>
            <w:r>
              <w:rPr>
                <w:rFonts w:hint="eastAsia" w:ascii="宋体" w:hAnsi="宋体" w:cs="宋体"/>
                <w:szCs w:val="21"/>
                <w:lang w:eastAsia="zh-CN"/>
              </w:rPr>
              <w:t>：</w:t>
            </w:r>
            <w:r>
              <w:rPr>
                <w:rFonts w:hint="eastAsia" w:ascii="宋体" w:hAnsi="宋体" w:cs="宋体"/>
                <w:szCs w:val="21"/>
              </w:rPr>
              <w:t>≥3维度调整</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6.3治疗床负载能力</w:t>
            </w:r>
            <w:r>
              <w:rPr>
                <w:rFonts w:hint="eastAsia" w:ascii="宋体" w:hAnsi="宋体" w:cs="宋体"/>
                <w:szCs w:val="21"/>
                <w:lang w:eastAsia="zh-CN"/>
              </w:rPr>
              <w:t>：</w:t>
            </w:r>
            <w:r>
              <w:rPr>
                <w:rFonts w:hint="eastAsia" w:ascii="宋体" w:hAnsi="宋体" w:cs="宋体"/>
                <w:szCs w:val="21"/>
              </w:rPr>
              <w:t>≥2</w:t>
            </w:r>
            <w:r>
              <w:rPr>
                <w:rFonts w:hint="eastAsia" w:ascii="宋体" w:hAnsi="宋体" w:cs="宋体"/>
                <w:szCs w:val="21"/>
                <w:lang w:val="en-US" w:eastAsia="zh-CN"/>
              </w:rPr>
              <w:t>0</w:t>
            </w:r>
            <w:r>
              <w:rPr>
                <w:rFonts w:hint="eastAsia" w:ascii="宋体" w:hAnsi="宋体" w:cs="宋体"/>
                <w:szCs w:val="21"/>
              </w:rPr>
              <w:t>0kg</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★6.4垂直移动范围</w:t>
            </w:r>
            <w:r>
              <w:rPr>
                <w:rFonts w:hint="eastAsia" w:ascii="宋体" w:hAnsi="宋体" w:cs="宋体"/>
                <w:szCs w:val="21"/>
                <w:lang w:eastAsia="zh-CN"/>
              </w:rPr>
              <w:t>：</w:t>
            </w:r>
            <w:r>
              <w:rPr>
                <w:rFonts w:hint="eastAsia" w:ascii="宋体" w:hAnsi="宋体" w:cs="宋体"/>
                <w:szCs w:val="21"/>
              </w:rPr>
              <w:t>≥47cm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★6.5左右移动范围</w:t>
            </w:r>
            <w:r>
              <w:rPr>
                <w:rFonts w:hint="eastAsia" w:ascii="宋体" w:hAnsi="宋体" w:cs="宋体"/>
                <w:szCs w:val="21"/>
                <w:lang w:eastAsia="zh-CN"/>
              </w:rPr>
              <w:t>：</w:t>
            </w:r>
            <w:r>
              <w:rPr>
                <w:rFonts w:hint="eastAsia" w:ascii="宋体" w:hAnsi="宋体" w:cs="宋体"/>
                <w:szCs w:val="21"/>
              </w:rPr>
              <w:t>≥±20.5cm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6.6前后移动范围</w:t>
            </w:r>
            <w:r>
              <w:rPr>
                <w:rFonts w:hint="eastAsia" w:ascii="宋体" w:hAnsi="宋体" w:cs="宋体"/>
                <w:szCs w:val="21"/>
              </w:rPr>
              <w:tab/>
            </w:r>
            <w:r>
              <w:rPr>
                <w:rFonts w:hint="eastAsia" w:ascii="宋体" w:hAnsi="宋体" w:cs="宋体"/>
                <w:szCs w:val="21"/>
              </w:rPr>
              <w:t>环形机架</w:t>
            </w:r>
            <w:r>
              <w:rPr>
                <w:rFonts w:hint="eastAsia" w:ascii="宋体" w:hAnsi="宋体" w:cs="宋体"/>
                <w:szCs w:val="21"/>
                <w:lang w:eastAsia="zh-CN"/>
              </w:rPr>
              <w:t>：</w:t>
            </w:r>
            <w:r>
              <w:rPr>
                <w:rFonts w:hint="eastAsia" w:ascii="宋体" w:hAnsi="宋体" w:cs="宋体"/>
                <w:szCs w:val="21"/>
              </w:rPr>
              <w:t>≥150cm或C型机架≥100cm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6.7治疗床运动分辨率</w:t>
            </w:r>
            <w:r>
              <w:rPr>
                <w:rFonts w:hint="eastAsia" w:ascii="宋体" w:hAnsi="宋体" w:cs="宋体"/>
                <w:szCs w:val="21"/>
                <w:lang w:eastAsia="zh-CN"/>
              </w:rPr>
              <w:t>：</w:t>
            </w:r>
            <w:r>
              <w:rPr>
                <w:rFonts w:hint="eastAsia" w:ascii="宋体" w:hAnsi="宋体" w:cs="宋体"/>
                <w:szCs w:val="21"/>
              </w:rPr>
              <w:t>≤0.1mm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6.8治疗床运动到位精度</w:t>
            </w:r>
            <w:r>
              <w:rPr>
                <w:rFonts w:hint="eastAsia" w:ascii="宋体" w:hAnsi="宋体" w:cs="宋体"/>
                <w:szCs w:val="21"/>
                <w:lang w:eastAsia="zh-CN"/>
              </w:rPr>
              <w:t>：</w:t>
            </w:r>
            <w:r>
              <w:rPr>
                <w:rFonts w:hint="eastAsia" w:ascii="宋体" w:hAnsi="宋体" w:cs="宋体"/>
                <w:szCs w:val="21"/>
              </w:rPr>
              <w:t>环形机架≤0.5mm或C型机架≤1mm</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 xml:space="preserve"> </w:t>
            </w:r>
            <w:r>
              <w:rPr>
                <w:rFonts w:hint="eastAsia" w:ascii="宋体" w:hAnsi="宋体" w:cs="宋体"/>
                <w:szCs w:val="21"/>
              </w:rPr>
              <w:t>机载图像引导系统</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7.1机载CT影像引导系统或KV级机载CBCT影像引导系统</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7.2</w:t>
            </w:r>
            <w:r>
              <w:rPr>
                <w:rFonts w:hint="eastAsia" w:ascii="宋体" w:hAnsi="宋体" w:cs="宋体"/>
                <w:szCs w:val="21"/>
              </w:rPr>
              <w:tab/>
            </w:r>
            <w:r>
              <w:rPr>
                <w:rFonts w:hint="eastAsia" w:ascii="宋体" w:hAnsi="宋体" w:cs="宋体"/>
                <w:szCs w:val="21"/>
              </w:rPr>
              <w:t>2D/3D/4D图像浏览和图像操作</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7.3标记和编辑摆位点</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7.4最大图像重建矩阵</w:t>
            </w:r>
            <w:r>
              <w:rPr>
                <w:rFonts w:hint="eastAsia" w:ascii="宋体" w:hAnsi="宋体" w:cs="宋体"/>
                <w:szCs w:val="21"/>
                <w:lang w:eastAsia="zh-CN"/>
              </w:rPr>
              <w:t>：</w:t>
            </w:r>
            <w:r>
              <w:rPr>
                <w:rFonts w:hint="eastAsia" w:ascii="宋体" w:hAnsi="宋体" w:cs="宋体"/>
                <w:szCs w:val="21"/>
              </w:rPr>
              <w:t>≥1024×1024</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7.5影像引导功能</w:t>
            </w:r>
            <w:r>
              <w:rPr>
                <w:rFonts w:hint="eastAsia" w:ascii="宋体" w:hAnsi="宋体" w:cs="宋体"/>
                <w:szCs w:val="21"/>
                <w:lang w:eastAsia="zh-CN"/>
              </w:rPr>
              <w:t>：</w:t>
            </w:r>
            <w:r>
              <w:rPr>
                <w:rFonts w:hint="eastAsia" w:ascii="宋体" w:hAnsi="宋体" w:cs="宋体"/>
                <w:szCs w:val="21"/>
              </w:rPr>
              <w:t>提供4D CT或4D CBCT影像引导功能</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7.6最大X射线球管电压</w:t>
            </w:r>
            <w:r>
              <w:rPr>
                <w:rFonts w:hint="eastAsia" w:ascii="宋体" w:hAnsi="宋体" w:cs="宋体"/>
                <w:szCs w:val="21"/>
                <w:lang w:eastAsia="zh-CN"/>
              </w:rPr>
              <w:t>：</w:t>
            </w:r>
            <w:r>
              <w:rPr>
                <w:rFonts w:hint="eastAsia" w:ascii="宋体" w:hAnsi="宋体" w:cs="宋体"/>
                <w:szCs w:val="21"/>
              </w:rPr>
              <w:t>≥140KV</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7.7最小X射线球管电压</w:t>
            </w:r>
            <w:r>
              <w:rPr>
                <w:rFonts w:hint="eastAsia" w:ascii="宋体" w:hAnsi="宋体" w:cs="宋体"/>
                <w:szCs w:val="21"/>
                <w:lang w:eastAsia="zh-CN"/>
              </w:rPr>
              <w:t>：</w:t>
            </w:r>
            <w:r>
              <w:rPr>
                <w:rFonts w:hint="eastAsia" w:ascii="宋体" w:hAnsi="宋体" w:cs="宋体"/>
                <w:szCs w:val="21"/>
              </w:rPr>
              <w:t>≤80KV</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▲7.8最大扫描视野</w:t>
            </w:r>
            <w:r>
              <w:rPr>
                <w:rFonts w:hint="eastAsia" w:ascii="宋体" w:hAnsi="宋体" w:cs="宋体"/>
                <w:szCs w:val="21"/>
                <w:lang w:eastAsia="zh-CN"/>
              </w:rPr>
              <w:t>：</w:t>
            </w:r>
            <w:r>
              <w:rPr>
                <w:rFonts w:hint="eastAsia" w:ascii="宋体" w:hAnsi="宋体" w:cs="宋体"/>
                <w:szCs w:val="21"/>
              </w:rPr>
              <w:t>≥4</w:t>
            </w:r>
            <w:r>
              <w:rPr>
                <w:rFonts w:hint="eastAsia" w:ascii="宋体" w:hAnsi="宋体" w:cs="宋体"/>
                <w:szCs w:val="21"/>
                <w:lang w:val="en-US" w:eastAsia="zh-CN"/>
              </w:rPr>
              <w:t>8</w:t>
            </w:r>
            <w:r>
              <w:rPr>
                <w:rFonts w:hint="eastAsia" w:ascii="宋体" w:hAnsi="宋体" w:cs="宋体"/>
                <w:szCs w:val="21"/>
              </w:rPr>
              <w:t>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7.9</w:t>
            </w:r>
            <w:r>
              <w:rPr>
                <w:rFonts w:hint="eastAsia" w:ascii="宋体" w:hAnsi="宋体" w:cs="宋体"/>
                <w:szCs w:val="21"/>
              </w:rPr>
              <w:tab/>
            </w:r>
            <w:r>
              <w:rPr>
                <w:rFonts w:hint="eastAsia" w:ascii="宋体" w:hAnsi="宋体" w:cs="宋体"/>
                <w:szCs w:val="21"/>
              </w:rPr>
              <w:t>IGRT 精度</w:t>
            </w:r>
            <w:r>
              <w:rPr>
                <w:rFonts w:hint="eastAsia" w:ascii="宋体" w:hAnsi="宋体" w:cs="宋体"/>
                <w:szCs w:val="21"/>
                <w:lang w:eastAsia="zh-CN"/>
              </w:rPr>
              <w:t>：</w:t>
            </w:r>
            <w:r>
              <w:rPr>
                <w:rFonts w:hint="eastAsia" w:ascii="宋体" w:hAnsi="宋体" w:cs="宋体"/>
                <w:szCs w:val="21"/>
              </w:rPr>
              <w:t>≤1mm</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★7.10探测器空间分辨率</w:t>
            </w:r>
            <w:r>
              <w:rPr>
                <w:rFonts w:hint="eastAsia" w:ascii="宋体" w:hAnsi="宋体" w:cs="宋体"/>
                <w:szCs w:val="21"/>
                <w:lang w:eastAsia="zh-CN"/>
              </w:rPr>
              <w:t>：</w:t>
            </w:r>
            <w:r>
              <w:rPr>
                <w:rFonts w:hint="eastAsia" w:ascii="宋体" w:hAnsi="宋体" w:cs="宋体"/>
                <w:szCs w:val="21"/>
              </w:rPr>
              <w:t>≥10LP/CM@0MTF。</w:t>
            </w:r>
          </w:p>
          <w:p>
            <w:pPr>
              <w:textAlignment w:val="auto"/>
              <w:rPr>
                <w:rFonts w:hint="eastAsia" w:ascii="宋体" w:hAnsi="宋体" w:cs="宋体"/>
                <w:szCs w:val="21"/>
              </w:rPr>
            </w:pPr>
            <w:r>
              <w:rPr>
                <w:rFonts w:hint="eastAsia" w:ascii="宋体" w:hAnsi="宋体" w:cs="宋体"/>
                <w:szCs w:val="21"/>
              </w:rPr>
              <w:t>8</w:t>
            </w:r>
            <w:r>
              <w:rPr>
                <w:rFonts w:hint="eastAsia" w:ascii="宋体" w:hAnsi="宋体" w:cs="宋体"/>
                <w:szCs w:val="21"/>
                <w:lang w:val="en-US" w:eastAsia="zh-CN"/>
              </w:rPr>
              <w:t xml:space="preserve">  </w:t>
            </w:r>
            <w:r>
              <w:rPr>
                <w:rFonts w:hint="eastAsia" w:ascii="宋体" w:hAnsi="宋体" w:cs="宋体"/>
                <w:szCs w:val="21"/>
              </w:rPr>
              <w:t>EPID成像系统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8.1有效感应面积</w:t>
            </w:r>
            <w:r>
              <w:rPr>
                <w:rFonts w:hint="eastAsia" w:ascii="宋体" w:hAnsi="宋体" w:cs="宋体"/>
                <w:szCs w:val="21"/>
                <w:lang w:eastAsia="zh-CN"/>
              </w:rPr>
              <w:t>：</w:t>
            </w:r>
            <w:r>
              <w:rPr>
                <w:rFonts w:hint="eastAsia" w:ascii="宋体" w:hAnsi="宋体" w:cs="宋体"/>
                <w:szCs w:val="21"/>
              </w:rPr>
              <w:t>≥41cm×41cm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8.2像素灰度分辨率</w:t>
            </w:r>
            <w:r>
              <w:rPr>
                <w:rFonts w:hint="eastAsia" w:ascii="宋体" w:hAnsi="宋体" w:cs="宋体"/>
                <w:szCs w:val="21"/>
                <w:lang w:eastAsia="zh-CN"/>
              </w:rPr>
              <w:t>：</w:t>
            </w:r>
            <w:r>
              <w:rPr>
                <w:rFonts w:hint="eastAsia" w:ascii="宋体" w:hAnsi="宋体" w:cs="宋体"/>
                <w:szCs w:val="21"/>
              </w:rPr>
              <w:t>≥16bit/pixel</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▲8.3图像采集速度</w:t>
            </w:r>
            <w:r>
              <w:rPr>
                <w:rFonts w:hint="eastAsia" w:ascii="宋体" w:hAnsi="宋体" w:cs="宋体"/>
                <w:szCs w:val="21"/>
                <w:lang w:eastAsia="zh-CN"/>
              </w:rPr>
              <w:t>：</w:t>
            </w:r>
            <w:r>
              <w:rPr>
                <w:rFonts w:hint="eastAsia" w:ascii="宋体" w:hAnsi="宋体" w:cs="宋体"/>
                <w:szCs w:val="21"/>
              </w:rPr>
              <w:t>≥15fps</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★8.4成像模式</w:t>
            </w:r>
            <w:r>
              <w:rPr>
                <w:rFonts w:hint="eastAsia" w:ascii="宋体" w:hAnsi="宋体" w:cs="宋体"/>
                <w:szCs w:val="21"/>
                <w:lang w:eastAsia="zh-CN"/>
              </w:rPr>
              <w:t>：</w:t>
            </w:r>
            <w:r>
              <w:rPr>
                <w:rFonts w:hint="eastAsia" w:ascii="宋体" w:hAnsi="宋体" w:cs="宋体"/>
                <w:szCs w:val="21"/>
              </w:rPr>
              <w:t>支持单/双曝光成像模式</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8.5治疗野成像</w:t>
            </w:r>
            <w:r>
              <w:rPr>
                <w:rFonts w:hint="eastAsia" w:ascii="宋体" w:hAnsi="宋体" w:cs="宋体"/>
                <w:szCs w:val="21"/>
                <w:lang w:eastAsia="zh-CN"/>
              </w:rPr>
              <w:t>：</w:t>
            </w:r>
            <w:r>
              <w:rPr>
                <w:rFonts w:hint="eastAsia" w:ascii="宋体" w:hAnsi="宋体" w:cs="宋体"/>
                <w:szCs w:val="21"/>
              </w:rPr>
              <w:t>支持6MV FFF治疗野二维单野成像</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 xml:space="preserve">  </w:t>
            </w:r>
            <w:r>
              <w:rPr>
                <w:rFonts w:hint="eastAsia" w:ascii="宋体" w:hAnsi="宋体" w:cs="宋体"/>
                <w:szCs w:val="21"/>
              </w:rPr>
              <w:t>EPID质控系统</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9.1基于EPID的加速器质控功能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9.2支持一键式EPID设备质控自动执行</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9.3支持对MLC进行检测（提供工作照片证明）</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9.4支持对准直器系统进行检测（提供工作照片证明）</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9.5支持对治疗床进行检测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9.6支持对机架进行检测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9.7支持对治疗等中心进行检测</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9.8支持对束流系统进行检测（提供工作照片证明）</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9.9支持对EPID进行检测</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★9.10支持选择蒙卡/卷积算法</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9.11支持生成质控工作报告功能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 xml:space="preserve"> </w:t>
            </w:r>
            <w:r>
              <w:rPr>
                <w:rFonts w:hint="eastAsia" w:ascii="宋体" w:hAnsi="宋体" w:cs="宋体"/>
                <w:szCs w:val="21"/>
              </w:rPr>
              <w:t>治疗模式</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10.1</w:t>
            </w:r>
            <w:r>
              <w:rPr>
                <w:rFonts w:hint="eastAsia" w:ascii="宋体" w:hAnsi="宋体" w:cs="宋体"/>
                <w:szCs w:val="21"/>
                <w:lang w:val="en-US" w:eastAsia="zh-CN"/>
              </w:rPr>
              <w:t xml:space="preserve"> </w:t>
            </w:r>
            <w:r>
              <w:rPr>
                <w:rFonts w:hint="eastAsia" w:ascii="宋体" w:hAnsi="宋体" w:cs="宋体"/>
                <w:szCs w:val="21"/>
              </w:rPr>
              <w:t>dIMRT动态调强放疗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10.2</w:t>
            </w:r>
            <w:r>
              <w:rPr>
                <w:rFonts w:hint="eastAsia" w:ascii="宋体" w:hAnsi="宋体" w:cs="宋体"/>
                <w:szCs w:val="21"/>
                <w:lang w:val="en-US" w:eastAsia="zh-CN"/>
              </w:rPr>
              <w:t xml:space="preserve"> </w:t>
            </w:r>
            <w:r>
              <w:rPr>
                <w:rFonts w:hint="eastAsia" w:ascii="宋体" w:hAnsi="宋体" w:cs="宋体"/>
                <w:szCs w:val="21"/>
              </w:rPr>
              <w:t>sIMRT静态调强放疗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10.3</w:t>
            </w:r>
            <w:r>
              <w:rPr>
                <w:rFonts w:hint="eastAsia" w:ascii="宋体" w:hAnsi="宋体" w:cs="宋体"/>
                <w:szCs w:val="21"/>
                <w:lang w:val="en-US" w:eastAsia="zh-CN"/>
              </w:rPr>
              <w:t xml:space="preserve"> </w:t>
            </w:r>
            <w:r>
              <w:rPr>
                <w:rFonts w:hint="eastAsia" w:ascii="宋体" w:hAnsi="宋体" w:cs="宋体"/>
                <w:szCs w:val="21"/>
              </w:rPr>
              <w:t>3D-CRT三维适形放疗</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▲10.4容积旋转调强放疗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10.5立体定向体部放射治疗（SBRT）</w:t>
            </w:r>
            <w:r>
              <w:rPr>
                <w:rFonts w:hint="eastAsia" w:ascii="宋体" w:hAnsi="宋体" w:cs="宋体"/>
                <w:szCs w:val="21"/>
                <w:lang w:eastAsia="zh-CN"/>
              </w:rPr>
              <w:t>，</w:t>
            </w:r>
            <w:r>
              <w:rPr>
                <w:rFonts w:hint="eastAsia" w:ascii="宋体" w:hAnsi="宋体" w:cs="宋体"/>
                <w:szCs w:val="21"/>
              </w:rPr>
              <w:t>提供直线加速器注册证材料</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▲10.6提供可应用于临床的在线自适应放疗整套软硬件解决方案（提供3家以上同类型加速器开展在线自适应放疗临床用户名单及临床应用支撑材料）</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10.6.1投标人必须作为本项目的唯一责任方，对所提供在线自适应放疗方案的整体性能、无缝兼容、系统稳定性及售后服务承担全部责任。若为投标人拥有自主知识产权的产品，需提供软件著作权登记证书；若为知识产权合法授权，需提供源代码托管协议；若为第三方知识产权授权软件，需提交知识产权授权链条文件（从原始开发商至投标人的完整授权协议）</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10.6.2实现从影像采集、靶区勾画、计划重新优化、剂量计算到治疗执行的全流程一体化无缝闭环操作</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10.6.3基于人工智能深度学习的轮廓结构自动勾画</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10.6.4基于当日解剖信息重新优化原始计划方案</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10.6.5自适应放疗计划的QA</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10.6.6可显示治疗计划QA结果</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10.6.7提供在线自适应放疗计划质量保证功能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10.6.8基于仪表盘显示治疗计划QA结果</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10.6.9自适应放射治疗监测功能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10.6.10全疗程自适应放射治疗评估及趋势分析</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10.6.11对各自适应治疗分次进行剂量叠加计算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10.6.12靶区动态可视化查看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10.6.13剂量定量预测和追踪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10.6.14</w:t>
            </w:r>
            <w:r>
              <w:rPr>
                <w:rFonts w:hint="eastAsia" w:ascii="宋体" w:hAnsi="宋体" w:cs="宋体"/>
                <w:szCs w:val="21"/>
              </w:rPr>
              <w:tab/>
            </w:r>
            <w:r>
              <w:rPr>
                <w:rFonts w:hint="eastAsia" w:ascii="宋体" w:hAnsi="宋体" w:cs="宋体"/>
                <w:szCs w:val="21"/>
              </w:rPr>
              <w:t>靶区体积定量追踪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放射治疗计划系统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11.1投标人必须作为本项目的唯一责任方，对所提供放射治疗计划系统的整体性能、无缝兼容、系统稳定性及售后服务承担全部责任。若为投标人拥有自主知识产权的产品，需提供软件著作权登记证书；若为知识产权合法授权，需提供源代码托管协议；若为第三方知识产权授权软件，需提交知识产权授权链条文件（从原始开发商至投标人的完整授权协议）</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▲11.2</w:t>
            </w:r>
            <w:r>
              <w:rPr>
                <w:rFonts w:hint="eastAsia" w:ascii="宋体" w:hAnsi="宋体" w:cs="宋体"/>
                <w:szCs w:val="21"/>
                <w:lang w:val="en-US" w:eastAsia="zh-CN"/>
              </w:rPr>
              <w:t xml:space="preserve"> </w:t>
            </w:r>
            <w:r>
              <w:rPr>
                <w:rFonts w:hint="eastAsia" w:ascii="宋体" w:hAnsi="宋体" w:cs="宋体"/>
                <w:szCs w:val="21"/>
              </w:rPr>
              <w:t>TPS物理师工作站≥4台，TPS医生工作站≥6台，提供型号为交货时上市的最高硬件配置和最新软件版本</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11.3支持所有系统统一数据平台</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11.4支持个性化自定义系统界面布局</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11.5支持CT，MRI，PET，CR，RT Image等 DICOM标准图像导入导出</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11.6支持从本地路径或其他AE节点导入导出DICOM数据</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11.7</w:t>
            </w:r>
            <w:r>
              <w:rPr>
                <w:rFonts w:hint="eastAsia" w:ascii="宋体" w:hAnsi="宋体" w:cs="宋体"/>
                <w:szCs w:val="21"/>
                <w:lang w:val="en-US" w:eastAsia="zh-CN"/>
              </w:rPr>
              <w:t xml:space="preserve"> </w:t>
            </w:r>
            <w:r>
              <w:rPr>
                <w:rFonts w:hint="eastAsia" w:ascii="宋体" w:hAnsi="宋体" w:cs="宋体"/>
                <w:szCs w:val="21"/>
              </w:rPr>
              <w:t>RT Plan，RT Dose，RT Structure，RT Record格式的数据导入导出</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11.8支持高级勾画工具（点勾画线、智能勾画、推画、画圆、画方、形变拖拽、及删除、编辑工具）</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11.9基于智能深度学习的多器官自动勾画功能：能自动勾画≥80个器官</w:t>
            </w:r>
            <w:r>
              <w:rPr>
                <w:rFonts w:hint="eastAsia" w:ascii="宋体" w:hAnsi="宋体" w:cs="宋体"/>
                <w:szCs w:val="21"/>
                <w:lang w:eastAsia="zh-CN"/>
              </w:rPr>
              <w:t>；</w:t>
            </w:r>
            <w:r>
              <w:rPr>
                <w:rFonts w:hint="eastAsia" w:ascii="宋体" w:hAnsi="宋体" w:cs="宋体"/>
                <w:szCs w:val="21"/>
              </w:rPr>
              <w:t>11.10支持多模态影像融合（CT-CT、CT-MR、CT-PET)</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11.11支持脚本创建与调用功能</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11.12多种自定义模板</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11.13光子计划制作</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11.14三维卷积剂量计算算法</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★11.15</w:t>
            </w:r>
            <w:r>
              <w:rPr>
                <w:rFonts w:hint="eastAsia" w:ascii="宋体" w:hAnsi="宋体" w:cs="宋体"/>
                <w:szCs w:val="21"/>
              </w:rPr>
              <w:tab/>
            </w:r>
            <w:r>
              <w:rPr>
                <w:rFonts w:hint="eastAsia" w:ascii="宋体" w:hAnsi="宋体" w:cs="宋体"/>
                <w:szCs w:val="21"/>
              </w:rPr>
              <w:t>蒙特卡洛剂量计算算法</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11.16</w:t>
            </w:r>
            <w:r>
              <w:rPr>
                <w:rFonts w:hint="eastAsia" w:ascii="宋体" w:hAnsi="宋体" w:cs="宋体"/>
                <w:szCs w:val="21"/>
                <w:lang w:val="en-US" w:eastAsia="zh-CN"/>
              </w:rPr>
              <w:t xml:space="preserve"> </w:t>
            </w:r>
            <w:r>
              <w:rPr>
                <w:rFonts w:hint="eastAsia" w:ascii="宋体" w:hAnsi="宋体" w:cs="宋体"/>
                <w:szCs w:val="21"/>
              </w:rPr>
              <w:t>GPU加速架构</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11.17全局最大剂量控制</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11.18多靶心计划的剂量计算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11.19添加组织补偿物计算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w:t>
            </w:r>
            <w:r>
              <w:rPr>
                <w:rFonts w:hint="eastAsia" w:ascii="宋体" w:hAnsi="宋体" w:cs="宋体"/>
                <w:szCs w:val="21"/>
                <w:lang w:val="en-US" w:eastAsia="zh-CN"/>
              </w:rPr>
              <w:t xml:space="preserve"> </w:t>
            </w:r>
            <w:r>
              <w:rPr>
                <w:rFonts w:hint="eastAsia" w:ascii="宋体" w:hAnsi="宋体" w:cs="宋体"/>
                <w:szCs w:val="21"/>
              </w:rPr>
              <w:t>放疗专用肿瘤信息管理系统</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12.1支持多种系统的连接，支持加速器、模拟定位设备和计划系统的连接</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12.2一体化数据库和患者管理，患者数据和治疗数据存储在一个数据库中</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12.3支持对患者信息进行管理</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12.4支持患者流程状态概览</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12.5支持患者预约功能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12.6支持用户权限管理</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12.7支持对治疗计划进行排程</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12.8支持治疗信息记录</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12.9支持对质控数据的记录与统计分析</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12.10支持数据批量备份与恢复</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12.11支持对在用肿瘤信息管理系统的数据迁移</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★12.12</w:t>
            </w:r>
            <w:r>
              <w:rPr>
                <w:rFonts w:hint="eastAsia" w:ascii="宋体" w:hAnsi="宋体" w:cs="宋体"/>
                <w:szCs w:val="21"/>
              </w:rPr>
              <w:tab/>
            </w:r>
            <w:r>
              <w:rPr>
                <w:rFonts w:hint="eastAsia" w:ascii="宋体" w:hAnsi="宋体" w:cs="宋体"/>
                <w:szCs w:val="21"/>
              </w:rPr>
              <w:t>支持电子病历系统6级</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 xml:space="preserve">12.13 </w:t>
            </w:r>
            <w:r>
              <w:rPr>
                <w:rFonts w:hint="eastAsia" w:ascii="宋体" w:hAnsi="宋体" w:cs="宋体"/>
                <w:szCs w:val="21"/>
              </w:rPr>
              <w:t>具备放射治疗记录与验证功能并取得NMPA三类医疗器械注册证（提供NMPA注册证文件证明，适用范围内容包含放射治疗记录与验证功能）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13放疗专用激光灯系统</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13.1安装模式</w:t>
            </w:r>
            <w:r>
              <w:rPr>
                <w:rFonts w:hint="eastAsia" w:ascii="宋体" w:hAnsi="宋体" w:cs="宋体"/>
                <w:szCs w:val="21"/>
                <w:lang w:eastAsia="zh-CN"/>
              </w:rPr>
              <w:t>：</w:t>
            </w:r>
            <w:r>
              <w:rPr>
                <w:rFonts w:hint="eastAsia" w:ascii="宋体" w:hAnsi="宋体" w:cs="宋体"/>
                <w:szCs w:val="21"/>
              </w:rPr>
              <w:t>固定式</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13.2激光发射器数量</w:t>
            </w:r>
            <w:r>
              <w:rPr>
                <w:rFonts w:hint="eastAsia" w:ascii="宋体" w:hAnsi="宋体" w:cs="宋体"/>
                <w:szCs w:val="21"/>
                <w:lang w:eastAsia="zh-CN"/>
              </w:rPr>
              <w:t>：</w:t>
            </w:r>
            <w:r>
              <w:rPr>
                <w:rFonts w:hint="eastAsia" w:ascii="宋体" w:hAnsi="宋体" w:cs="宋体"/>
                <w:szCs w:val="21"/>
              </w:rPr>
              <w:t>三个</w:t>
            </w:r>
            <w:r>
              <w:rPr>
                <w:rFonts w:hint="eastAsia" w:ascii="宋体" w:hAnsi="宋体" w:cs="宋体"/>
                <w:szCs w:val="21"/>
                <w:lang w:eastAsia="zh-CN"/>
              </w:rPr>
              <w:t>；</w:t>
            </w:r>
          </w:p>
          <w:p>
            <w:pPr>
              <w:textAlignment w:val="auto"/>
              <w:rPr>
                <w:rFonts w:hint="eastAsia" w:ascii="宋体" w:hAnsi="宋体" w:cs="宋体"/>
                <w:szCs w:val="21"/>
                <w:lang w:eastAsia="zh-CN"/>
              </w:rPr>
            </w:pPr>
            <w:r>
              <w:rPr>
                <w:rFonts w:hint="eastAsia" w:ascii="宋体" w:hAnsi="宋体" w:cs="宋体"/>
                <w:szCs w:val="21"/>
              </w:rPr>
              <w:t>13.3激光类型</w:t>
            </w:r>
            <w:r>
              <w:rPr>
                <w:rFonts w:hint="eastAsia" w:ascii="宋体" w:hAnsi="宋体" w:cs="宋体"/>
                <w:szCs w:val="21"/>
                <w:lang w:eastAsia="zh-CN"/>
              </w:rPr>
              <w:t>：</w:t>
            </w:r>
            <w:r>
              <w:rPr>
                <w:rFonts w:hint="eastAsia" w:ascii="宋体" w:hAnsi="宋体" w:cs="宋体"/>
                <w:szCs w:val="21"/>
              </w:rPr>
              <w:t>激光二极管</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13.4线宽（4米内可聚焦调节）＜1mm</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13.5定位精度</w:t>
            </w:r>
            <w:r>
              <w:rPr>
                <w:rFonts w:hint="eastAsia" w:ascii="宋体" w:hAnsi="宋体" w:cs="宋体"/>
                <w:szCs w:val="21"/>
                <w:lang w:eastAsia="zh-CN"/>
              </w:rPr>
              <w:t>：</w:t>
            </w:r>
            <w:r>
              <w:rPr>
                <w:rFonts w:hint="eastAsia" w:ascii="宋体" w:hAnsi="宋体" w:cs="宋体"/>
                <w:szCs w:val="21"/>
              </w:rPr>
              <w:t>±1mm</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14</w:t>
            </w:r>
            <w:r>
              <w:rPr>
                <w:rFonts w:hint="eastAsia" w:ascii="宋体" w:hAnsi="宋体" w:cs="宋体"/>
                <w:szCs w:val="21"/>
                <w:lang w:val="en-US" w:eastAsia="zh-CN"/>
              </w:rPr>
              <w:t xml:space="preserve"> </w:t>
            </w:r>
            <w:r>
              <w:rPr>
                <w:rFonts w:hint="eastAsia" w:ascii="宋体" w:hAnsi="宋体" w:cs="宋体"/>
                <w:szCs w:val="21"/>
              </w:rPr>
              <w:t>三维调强验证系统</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14.1探头类型：应配置适用于辐射剂量测量的半导体探头；探头数量：＞1300；矩阵直径：≥20cm；矩阵长度：≥20cm；分辨率：≤1.0cm；探头几何分布：螺旋栅格；探头有效平面尺寸：≤2.8mm×2.8mm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14.2电离室高度：＜3mm；探头有效体积：＜0.06cm³；探头灵敏度：≥30nC/Gy；探头灵敏度：≥30nC/Gy；探测器稳定性：0.5%kGy at 6MV；采样频率：≤50ms</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14.3模体形状：应采用圆筒形设计；支持检测采购人现有需使用测量中一个计划的所有射线；各向一致性：360度设置均有探头面切线与射束垂直</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14.4剂量校准：剂量校准时无需拆模体，剂量校准不需要电离室</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14.5电器元件 联接：至少支持RS232和USB串口联接；电源数据线：≥25米；电源：100-240 VAC，50-60 Hz；预热时间：小于5分钟</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14.6适用能量范围：光子：至少支持Co-60 - 25 MV；电子线：至少支持6 MeV – 25 MeV</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14.7建成区探测器物理深度（不加固体水）：≥7.5mm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14.8测量方式：应同时测量入射和出射剂量，以便获取更多数据执行更详尽的分析</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14.9</w:t>
            </w:r>
            <w:r>
              <w:rPr>
                <w:rFonts w:hint="eastAsia" w:ascii="宋体" w:hAnsi="宋体" w:cs="宋体"/>
                <w:szCs w:val="21"/>
                <w:lang w:val="en-US" w:eastAsia="zh-CN"/>
              </w:rPr>
              <w:t xml:space="preserve"> </w:t>
            </w:r>
            <w:r>
              <w:rPr>
                <w:rFonts w:hint="eastAsia" w:ascii="宋体" w:hAnsi="宋体" w:cs="宋体"/>
                <w:szCs w:val="21"/>
              </w:rPr>
              <w:t>TPS接口兼容市场主流TPS，支持可应用DICOM格式导入</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14.10应用程序功能配置支持IMRT，VMAT，SBRT，MRgRT的验证</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14.11数据分析：可进行相对剂量和绝对剂量分析比较，可完成DTA和Gamma计算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14.12</w:t>
            </w:r>
            <w:r>
              <w:rPr>
                <w:rFonts w:hint="eastAsia" w:ascii="宋体" w:hAnsi="宋体" w:cs="宋体"/>
                <w:szCs w:val="21"/>
                <w:lang w:val="en-US" w:eastAsia="zh-CN"/>
              </w:rPr>
              <w:t xml:space="preserve"> </w:t>
            </w:r>
            <w:r>
              <w:rPr>
                <w:rFonts w:hint="eastAsia" w:ascii="宋体" w:hAnsi="宋体" w:cs="宋体"/>
                <w:szCs w:val="21"/>
              </w:rPr>
              <w:t>DVH分析软件：支持三维剂量验证重建分析；数据分析：ROI分析、共面和非共面的剂量分析；工作站：可分析机架角度与时间；微积分剂量与时间；MLC测量到位精度与预测到位精度</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14.13支持自动校准深度、SSD和病人结构；4D分析：测量并关联机架角度、叶端位置、绝对剂量和时间进行分析</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14.14角度测量：设备自动测量机架角度，无需额外增加模体、支架或角度传感器</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14.15配置定制化中心插件：非均匀的中心插件，包含肌肉、骨骼、肺、脂肪、钛合金等不同密度插件</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14.16支持生成和打印报告</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14.17配置清单</w:t>
            </w:r>
            <w:r>
              <w:rPr>
                <w:rFonts w:hint="eastAsia" w:ascii="宋体" w:hAnsi="宋体" w:cs="宋体"/>
                <w:szCs w:val="21"/>
                <w:lang w:eastAsia="zh-CN"/>
              </w:rPr>
              <w:t>：</w:t>
            </w:r>
            <w:r>
              <w:rPr>
                <w:rFonts w:hint="eastAsia" w:ascii="宋体" w:hAnsi="宋体" w:cs="宋体"/>
                <w:szCs w:val="21"/>
              </w:rPr>
              <w:t>主机一台；≥25米电缆线一条；物联专业分析软件系统建设一项；≥6英尺长电源线一条；USB连接线一条；主机原厂说明书一本；非均匀中心插件（含肌肉、骨骼、肺、脂肪、钛合金插件）一套；3DVH（功能参照并相当于）软件一套；物联工作站专用功能系统一套</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15立体定向放疗质控模体</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15.1支持体部立体定向放射治疗验证，常规放疗剂量验证以及绝对剂量刻度</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15.2支持复杂计划验证，SRS剂量QA插件拥有复杂的几何靶区，可以评估治疗计划系统影像重建一致性</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15.3计划系统影像重建精度：支持已知规则体积三维空间重建，可评估治疗计划系统体积重建准确度</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15.4</w:t>
            </w:r>
            <w:r>
              <w:rPr>
                <w:rFonts w:hint="eastAsia" w:ascii="宋体" w:hAnsi="宋体" w:cs="宋体"/>
                <w:szCs w:val="21"/>
                <w:lang w:val="en-US" w:eastAsia="zh-CN"/>
              </w:rPr>
              <w:t xml:space="preserve">  </w:t>
            </w:r>
            <w:r>
              <w:rPr>
                <w:rFonts w:hint="eastAsia" w:ascii="宋体" w:hAnsi="宋体" w:cs="宋体"/>
                <w:szCs w:val="21"/>
              </w:rPr>
              <w:t>CT电子密度：支持五种不同物理密度，包括水，空气，致密骨，疏松骨和脂肪等效密度，可用于CT密度模型的QA检测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15.5</w:t>
            </w:r>
            <w:r>
              <w:rPr>
                <w:rFonts w:hint="eastAsia" w:ascii="宋体" w:hAnsi="宋体" w:cs="宋体"/>
                <w:szCs w:val="21"/>
                <w:lang w:val="en-US" w:eastAsia="zh-CN"/>
              </w:rPr>
              <w:t xml:space="preserve"> </w:t>
            </w:r>
            <w:r>
              <w:rPr>
                <w:rFonts w:hint="eastAsia" w:ascii="宋体" w:hAnsi="宋体" w:cs="宋体"/>
                <w:szCs w:val="21"/>
              </w:rPr>
              <w:t>TPS剂量计算精度：支持非均匀性模体剂量验证，包含肺部等效密度的插件，验证蒙特卡洛计算精度，误差≤0.5%</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15.6</w:t>
            </w:r>
            <w:r>
              <w:rPr>
                <w:rFonts w:hint="eastAsia" w:ascii="宋体" w:hAnsi="宋体" w:cs="宋体"/>
                <w:szCs w:val="21"/>
                <w:lang w:val="en-US" w:eastAsia="zh-CN"/>
              </w:rPr>
              <w:t xml:space="preserve"> </w:t>
            </w:r>
            <w:r>
              <w:rPr>
                <w:rFonts w:hint="eastAsia" w:ascii="宋体" w:hAnsi="宋体" w:cs="宋体"/>
                <w:szCs w:val="21"/>
              </w:rPr>
              <w:t>参考标记：内部包含金标点及铅基准标记，分布整个模体提供额外的位置参考和定位精度</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15.7绝对剂量测量小野探头1个，有效体积≤0.01cc</w:t>
            </w:r>
            <w:r>
              <w:rPr>
                <w:rFonts w:hint="eastAsia" w:ascii="宋体" w:hAnsi="宋体" w:cs="宋体"/>
                <w:szCs w:val="21"/>
                <w:lang w:eastAsia="zh-CN"/>
              </w:rPr>
              <w:t>，含适配器；</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15.8电缆线1条，TNC接口，长度≥25米</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lang w:val="en-US" w:eastAsia="zh-CN"/>
              </w:rPr>
              <w:t xml:space="preserve">15.9 </w:t>
            </w:r>
            <w:r>
              <w:rPr>
                <w:rFonts w:hint="eastAsia" w:ascii="宋体" w:hAnsi="宋体" w:cs="宋体"/>
                <w:szCs w:val="21"/>
              </w:rPr>
              <w:t>0.6cc常规探头适配器1个，不含探头</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16</w:t>
            </w:r>
            <w:r>
              <w:rPr>
                <w:rFonts w:hint="eastAsia" w:ascii="宋体" w:hAnsi="宋体" w:cs="宋体"/>
                <w:szCs w:val="21"/>
                <w:lang w:val="en-US" w:eastAsia="zh-CN"/>
              </w:rPr>
              <w:t xml:space="preserve"> </w:t>
            </w:r>
            <w:r>
              <w:rPr>
                <w:rFonts w:hint="eastAsia" w:ascii="宋体" w:hAnsi="宋体" w:cs="宋体"/>
                <w:szCs w:val="21"/>
              </w:rPr>
              <w:t>二次剂量验证系统</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16.1支持基于TPS的RT Plan、DICOM CT、RT Structure等数据，利用第三方剂量算法，自动计算患者体内的剂量分布，并与TPS中的剂量分布（RT Dose）进行比较，验证TPS剂量算法的可靠性</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16.2支持基于加速器日志文件进行二维或三维通量对比分析，每个射野逐一验证</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16.3临床目标分析：支持系统可自定义临床目标标准，并自动分析各感兴趣区是否满足该临床目标</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16.4三维剂量计算和验证分析</w:t>
            </w:r>
            <w:r>
              <w:rPr>
                <w:rFonts w:hint="eastAsia" w:ascii="宋体" w:hAnsi="宋体" w:cs="宋体"/>
                <w:szCs w:val="21"/>
                <w:lang w:eastAsia="zh-CN"/>
              </w:rPr>
              <w:t>：</w:t>
            </w:r>
            <w:r>
              <w:rPr>
                <w:rFonts w:hint="eastAsia" w:ascii="宋体" w:hAnsi="宋体" w:cs="宋体"/>
                <w:szCs w:val="21"/>
              </w:rPr>
              <w:t>支持三维剂量分布比较、Gamma分析结果、各感兴趣区域DVH比较</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16.5剂量分析工具：支持点剂量分析、线剂量分析、DVH对比、快速局部/全面三维剂量伽马分析等，并支持多剖面结果显示，如支持横断面、矢状面和冠状面剂量和伽玛结果展示等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16.6计划比较工具：支持将TPS中的计划与传输到肿瘤信息系统中的计划进行对比，从而排除数据传输错误</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16.7放疗设备兼容性：支持采购方配置的各型号直线加速器的点剂量以及三维剂量的计算和验证（核磁加速器除外），支持核磁加速器计划的点剂量验证</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16.8计划系统兼容性：支持当前所有主流计划系统：包括Eclipse、Monaco、Pinnacle、RayStation等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16.9治疗技术兼容性：支持现有放疗技术，包括3DCRT、IMRT、VMAT、SRS/SBRT等，支持电子线和光子线计划的三维剂量计算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16.10验证结果输出：支持定制化报告内容模板及报告格式；支持以邮件形式发送给相关工作人员，发送频率可控；支持结果保存成PDF；支持用于无纸化办公流程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16.11自动化程度：支持自动导入TPS发送的DICOM数据、自动开始计算任务、自动生成PDF验证分析报告</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16.12加速器建模：支持根据实际采集的加速器数据，进行加速器剂量模型建立，并能手动调整剂量模型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16.13剂量计算算法:支持Monte Carlo算法进行剂量计算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16.14支持采用灵活且可以扩展的计算队列管理计算任务，即可以实现自动化管理，也可以主观干预计算任务的优先级别</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16.15定制化自动工作流:支持自动为不同计划选择不同的临床计划评估模板、自动为不同计划选择不同的等剂量线模板、自动为不同计划选择不同的Gamma评估标准进行验证分析</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16.16具有基于CBCT影像的剂量评估功能，基于CBCT影像进行的剂量计算和分析</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16.17具有基于EPID的剂量评估功能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16.18 授权数量</w:t>
            </w:r>
            <w:r>
              <w:rPr>
                <w:rFonts w:hint="eastAsia" w:ascii="宋体" w:hAnsi="宋体" w:cs="宋体"/>
                <w:szCs w:val="21"/>
                <w:lang w:eastAsia="zh-CN"/>
              </w:rPr>
              <w:t>：</w:t>
            </w:r>
            <w:r>
              <w:rPr>
                <w:rFonts w:hint="eastAsia" w:ascii="宋体" w:hAnsi="宋体" w:cs="宋体"/>
                <w:szCs w:val="21"/>
              </w:rPr>
              <w:t>支持≥3台采购人现有治疗设备</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17晨检仪</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17.1探头类型：适用于辐射剂量测量的纯电离室探头；探头数量：≥13个；测量电离室体积：≤0.1cm³；能量电离室体积：≤0.2cm³。探头灵敏度：≥30nC/Gy</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17.2照射野大小：可测量(10x10) cm²、 (20x20)cm²</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17.3测量功能：可对中心轴剂量、剂量率、均整性、对称性和射线质的稳定性检测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17.4数据显示：晨检仪主机内置集成液晶显示屏，实时显示测量值</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17.5连接加速器数量：无限制。状态指示灯：必须自带三种指示灯，显示正常，报警灯功能，可实时指示当前数据是否超出容差，电池电量和设备测量状态。</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17.6</w:t>
            </w:r>
            <w:r>
              <w:rPr>
                <w:rFonts w:hint="eastAsia" w:ascii="宋体" w:hAnsi="宋体" w:cs="宋体"/>
                <w:szCs w:val="21"/>
                <w:lang w:val="en-US" w:eastAsia="zh-CN"/>
              </w:rPr>
              <w:t xml:space="preserve"> </w:t>
            </w:r>
            <w:r>
              <w:rPr>
                <w:rFonts w:hint="eastAsia" w:ascii="宋体" w:hAnsi="宋体" w:cs="宋体"/>
                <w:szCs w:val="21"/>
              </w:rPr>
              <w:t>FFF补偿模式：带有FFF模式的加速器，可以测common beam参数，可以用于6MV和10MV的加速器,摆位简单快速，可检测FFF射束长期稳定性</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17.7建成板材料：丙烯酸（PMMA）</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17.8电器元件联接：支持有线和无线连接</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17.9适用能量范围：高能光子4MV-25 MV；电子线至少支持4 MeV–25 MeV</w:t>
            </w:r>
            <w:r>
              <w:rPr>
                <w:rFonts w:hint="eastAsia" w:ascii="宋体" w:hAnsi="宋体" w:cs="宋体"/>
                <w:szCs w:val="21"/>
                <w:lang w:eastAsia="zh-CN"/>
              </w:rPr>
              <w:t>；</w:t>
            </w:r>
            <w:r>
              <w:rPr>
                <w:rFonts w:hint="eastAsia" w:ascii="宋体" w:hAnsi="宋体" w:cs="宋体"/>
                <w:szCs w:val="21"/>
              </w:rPr>
              <w:t>17.10温度测量：集成式温度传感器测量实时校正。测量范围：至少支持10-40度，气压测量：集成式气压传感器测量实时校正，测量范围至少支持700-1060hpa</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17.11应用程序功能配置满足常规QA的要求，包括加速器日常QA等</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17.12自动跳转任务列表：无需翻转阵列实现光子线、电子线测量，测量完一组数据后无需进入机房，自动跳转到下一组任务</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17.13数据存储：必须内置电脑软件显示，无需外接电脑，并实时显示单个参数趋势图和测量数据</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17.14内置数据库软件：必须将数据存储在非易失性自带内存中，导出晨检仪测量数据，可视化的数据趋势，观察和分析数据的长期变化趋势，保存或打印数据报告</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17.15访问数据：日常使用可通过电脑随时调用分析功能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17.16配置清单</w:t>
            </w:r>
            <w:r>
              <w:rPr>
                <w:rFonts w:hint="eastAsia" w:ascii="宋体" w:hAnsi="宋体" w:cs="宋体"/>
                <w:szCs w:val="21"/>
                <w:lang w:eastAsia="zh-CN"/>
              </w:rPr>
              <w:t>：</w:t>
            </w:r>
            <w:r>
              <w:rPr>
                <w:rFonts w:hint="eastAsia" w:ascii="宋体" w:hAnsi="宋体" w:cs="宋体"/>
                <w:szCs w:val="21"/>
              </w:rPr>
              <w:t>晨检仪主机1套；USB连接线1条；充电器1套；可充电电池1套；系统操作分析软件系统1套；FFF模式补偿器1套</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18辐射防护设备和其他设备</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18.1</w:t>
            </w:r>
            <w:r>
              <w:rPr>
                <w:rFonts w:hint="eastAsia" w:ascii="宋体" w:hAnsi="宋体" w:cs="宋体"/>
                <w:szCs w:val="21"/>
                <w:lang w:val="en-US" w:eastAsia="zh-CN"/>
              </w:rPr>
              <w:t xml:space="preserve"> </w:t>
            </w:r>
            <w:r>
              <w:rPr>
                <w:rFonts w:hint="eastAsia" w:ascii="宋体" w:hAnsi="宋体" w:cs="宋体"/>
                <w:szCs w:val="21"/>
              </w:rPr>
              <w:t>X线固定报警仪1个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18.2手持式辐射仪1个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18.3个人剂量报警仪3个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18.4电子防潮箱1套，外尺寸：≥宽90cm×深60cm×高100cm，防静电指标：满足国标，湿度控制精度：±2.5%RH；温度显示精度：±1℃</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19</w:t>
            </w:r>
            <w:r>
              <w:rPr>
                <w:rFonts w:hint="eastAsia" w:ascii="宋体" w:hAnsi="宋体" w:cs="宋体"/>
                <w:szCs w:val="21"/>
                <w:lang w:val="en-US" w:eastAsia="zh-CN"/>
              </w:rPr>
              <w:t xml:space="preserve"> </w:t>
            </w:r>
            <w:r>
              <w:rPr>
                <w:rFonts w:hint="eastAsia" w:ascii="宋体" w:hAnsi="宋体" w:cs="宋体"/>
                <w:szCs w:val="21"/>
              </w:rPr>
              <w:t>体位固定方案</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19.1适用于肿瘤放疗患者高精度重复体位固定，包含多功能一体化固定系统及附件、SBRT固定系统及附件</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19.1.1人体固定架（碳纤维一体化固定架）2套</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19.1.2人体固定架（手臂支撑架）1套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19.1.3人体固定架（膝部垫）1套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19.1.4人体固定架（俯卧乳腺泡棉组件）6套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19.1.5人体固定架（俯卧盆腔泡绵组件）6套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19.1.6人体固定架（适配条）6根</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19.1.7人体固定架（适配条）6根</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19.1.8人体固定架（透明头枕）5个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19.1.9人体固定架（俯卧头枕）6个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19.1.10人体定位垫（塑形垫专用头枕）2个</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19.1.11体部立体定向固定方案2套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19.1.12</w:t>
            </w:r>
            <w:r>
              <w:rPr>
                <w:rFonts w:hint="eastAsia" w:ascii="宋体" w:hAnsi="宋体" w:cs="宋体"/>
                <w:szCs w:val="21"/>
              </w:rPr>
              <w:tab/>
            </w:r>
            <w:r>
              <w:rPr>
                <w:rFonts w:hint="eastAsia" w:ascii="宋体" w:hAnsi="宋体" w:cs="宋体"/>
                <w:szCs w:val="21"/>
              </w:rPr>
              <w:t>腹部气囊加压装置5个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19.1.13</w:t>
            </w:r>
            <w:r>
              <w:rPr>
                <w:rFonts w:hint="eastAsia" w:ascii="宋体" w:hAnsi="宋体" w:cs="宋体"/>
                <w:szCs w:val="21"/>
              </w:rPr>
              <w:tab/>
            </w:r>
            <w:r>
              <w:rPr>
                <w:rFonts w:hint="eastAsia" w:ascii="宋体" w:hAnsi="宋体" w:cs="宋体"/>
                <w:szCs w:val="21"/>
              </w:rPr>
              <w:t>定位膜（0.3cm补偿膜）5张、定位膜（口含器）5个、定位膜（咬合器）5个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19.2</w:t>
            </w:r>
            <w:r>
              <w:rPr>
                <w:rFonts w:hint="eastAsia" w:ascii="宋体" w:hAnsi="宋体" w:cs="宋体"/>
                <w:szCs w:val="21"/>
                <w:lang w:val="en-US" w:eastAsia="zh-CN"/>
              </w:rPr>
              <w:t xml:space="preserve"> </w:t>
            </w:r>
            <w:r>
              <w:rPr>
                <w:rFonts w:hint="eastAsia" w:ascii="宋体" w:hAnsi="宋体" w:cs="宋体"/>
                <w:szCs w:val="21"/>
              </w:rPr>
              <w:t>多功能一体化固定系统主体使用进口碳纤维材质,组件包括基础板、手臂支撑架、膝部垫、盆腔俯卧固定组件、乳腺俯卧固定组件及必要的辅助配件</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★19.3</w:t>
            </w:r>
            <w:r>
              <w:rPr>
                <w:rFonts w:hint="eastAsia" w:ascii="宋体" w:hAnsi="宋体" w:cs="宋体"/>
                <w:szCs w:val="21"/>
                <w:lang w:val="en-US" w:eastAsia="zh-CN"/>
              </w:rPr>
              <w:t xml:space="preserve"> </w:t>
            </w:r>
            <w:r>
              <w:rPr>
                <w:rFonts w:hint="eastAsia" w:ascii="宋体" w:hAnsi="宋体" w:cs="宋体"/>
                <w:szCs w:val="21"/>
              </w:rPr>
              <w:t>多功能一体化固定系统兼容科室CT模拟定位室和直加治疗室在用固定装置</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19.4</w:t>
            </w:r>
            <w:r>
              <w:rPr>
                <w:rFonts w:hint="eastAsia" w:ascii="宋体" w:hAnsi="宋体" w:cs="宋体"/>
                <w:szCs w:val="21"/>
                <w:lang w:val="en-US" w:eastAsia="zh-CN"/>
              </w:rPr>
              <w:t xml:space="preserve">  </w:t>
            </w:r>
            <w:r>
              <w:rPr>
                <w:rFonts w:hint="eastAsia" w:ascii="宋体" w:hAnsi="宋体" w:cs="宋体"/>
                <w:szCs w:val="21"/>
              </w:rPr>
              <w:t>SBRT固定系统组件包括基础板、翼形板、膝踝垫、腹部桥架、膝部桥架及必要的辅助配件</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19.5</w:t>
            </w:r>
            <w:r>
              <w:rPr>
                <w:rFonts w:hint="eastAsia" w:ascii="宋体" w:hAnsi="宋体" w:cs="宋体"/>
                <w:szCs w:val="21"/>
                <w:lang w:val="en-US" w:eastAsia="zh-CN"/>
              </w:rPr>
              <w:t xml:space="preserve">  </w:t>
            </w:r>
            <w:r>
              <w:rPr>
                <w:rFonts w:hint="eastAsia" w:ascii="宋体" w:hAnsi="宋体" w:cs="宋体"/>
                <w:szCs w:val="21"/>
              </w:rPr>
              <w:t>SBRT固定系统腹部桥架、膝部桥架采用环形结构设计，使用核磁模拟定位时可以避免体部线圈与扫描部位距离过远而影响图像质量</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19.6</w:t>
            </w:r>
            <w:r>
              <w:rPr>
                <w:rFonts w:hint="eastAsia" w:ascii="宋体" w:hAnsi="宋体" w:cs="宋体"/>
                <w:szCs w:val="21"/>
                <w:lang w:val="en-US" w:eastAsia="zh-CN"/>
              </w:rPr>
              <w:t xml:space="preserve">  </w:t>
            </w:r>
            <w:r>
              <w:rPr>
                <w:rFonts w:hint="eastAsia" w:ascii="宋体" w:hAnsi="宋体" w:cs="宋体"/>
                <w:szCs w:val="21"/>
              </w:rPr>
              <w:t>SBRT固定系统腹部桥架左右两侧独立调节，可实现偏侧压腹调节，高度可调档位≥13，一键锁紧设计</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19.7产品质量达到国际标准，获得FDA、CE销售许可</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w:t>
            </w:r>
            <w:r>
              <w:rPr>
                <w:rFonts w:hint="eastAsia" w:ascii="宋体" w:hAnsi="宋体" w:cs="宋体"/>
                <w:szCs w:val="21"/>
                <w:lang w:val="en-US" w:eastAsia="zh-CN"/>
              </w:rPr>
              <w:t xml:space="preserve"> </w:t>
            </w:r>
            <w:r>
              <w:rPr>
                <w:rFonts w:hint="eastAsia" w:ascii="宋体" w:hAnsi="宋体" w:cs="宋体"/>
                <w:szCs w:val="21"/>
              </w:rPr>
              <w:t>配备体表光学定位系统，实现患者体位精准校准,且满足临床开展呼吸运动管理的功能。</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 相机数量</w:t>
            </w:r>
            <w:r>
              <w:rPr>
                <w:rFonts w:hint="eastAsia" w:ascii="宋体" w:hAnsi="宋体" w:cs="宋体"/>
                <w:szCs w:val="21"/>
                <w:lang w:eastAsia="zh-CN"/>
              </w:rPr>
              <w:t>：</w:t>
            </w:r>
            <w:r>
              <w:rPr>
                <w:rFonts w:hint="eastAsia" w:ascii="宋体" w:hAnsi="宋体" w:cs="宋体"/>
                <w:szCs w:val="21"/>
              </w:rPr>
              <w:t>治疗设备端≥3个，CT定位端≥1个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20.2技术模式</w:t>
            </w:r>
            <w:r>
              <w:rPr>
                <w:rFonts w:hint="eastAsia" w:ascii="宋体" w:hAnsi="宋体" w:cs="宋体"/>
                <w:szCs w:val="21"/>
                <w:lang w:eastAsia="zh-CN"/>
              </w:rPr>
              <w:t>：</w:t>
            </w:r>
            <w:r>
              <w:rPr>
                <w:rFonts w:hint="eastAsia" w:ascii="宋体" w:hAnsi="宋体" w:cs="宋体"/>
                <w:szCs w:val="21"/>
              </w:rPr>
              <w:t>结构光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20.3相机分辨率</w:t>
            </w:r>
            <w:r>
              <w:rPr>
                <w:rFonts w:hint="eastAsia" w:ascii="宋体" w:hAnsi="宋体" w:cs="宋体"/>
                <w:szCs w:val="21"/>
                <w:lang w:eastAsia="zh-CN"/>
              </w:rPr>
              <w:t>：</w:t>
            </w:r>
            <w:r>
              <w:rPr>
                <w:rFonts w:hint="eastAsia" w:ascii="宋体" w:hAnsi="宋体" w:cs="宋体"/>
                <w:szCs w:val="21"/>
              </w:rPr>
              <w:t>≥2048×2048像素</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20.4摆位准确性</w:t>
            </w:r>
            <w:r>
              <w:rPr>
                <w:rFonts w:hint="eastAsia" w:ascii="宋体" w:hAnsi="宋体" w:cs="宋体"/>
                <w:szCs w:val="21"/>
                <w:lang w:eastAsia="zh-CN"/>
              </w:rPr>
              <w:t>：</w:t>
            </w:r>
            <w:r>
              <w:rPr>
                <w:rFonts w:hint="eastAsia" w:ascii="宋体" w:hAnsi="宋体" w:cs="宋体"/>
                <w:szCs w:val="21"/>
              </w:rPr>
              <w:t>≤1mm/1°</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20.5摆位重复性</w:t>
            </w:r>
            <w:r>
              <w:rPr>
                <w:rFonts w:hint="eastAsia" w:ascii="宋体" w:hAnsi="宋体" w:cs="宋体"/>
                <w:szCs w:val="21"/>
                <w:lang w:eastAsia="zh-CN"/>
              </w:rPr>
              <w:t>：</w:t>
            </w:r>
            <w:r>
              <w:rPr>
                <w:rFonts w:hint="eastAsia" w:ascii="宋体" w:hAnsi="宋体" w:cs="宋体"/>
                <w:szCs w:val="21"/>
              </w:rPr>
              <w:t>＜0.2mm/1°</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20.6摆位修正</w:t>
            </w:r>
            <w:r>
              <w:rPr>
                <w:rFonts w:hint="eastAsia" w:ascii="宋体" w:hAnsi="宋体" w:cs="宋体"/>
                <w:szCs w:val="21"/>
                <w:lang w:eastAsia="zh-CN"/>
              </w:rPr>
              <w:t>：</w:t>
            </w:r>
            <w:r>
              <w:rPr>
                <w:rFonts w:hint="eastAsia" w:ascii="宋体" w:hAnsi="宋体" w:cs="宋体"/>
                <w:szCs w:val="21"/>
              </w:rPr>
              <w:t>支持姿态识别、支持手工调整和自动调整</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20.7配准时间</w:t>
            </w:r>
            <w:r>
              <w:rPr>
                <w:rFonts w:hint="eastAsia" w:ascii="宋体" w:hAnsi="宋体" w:cs="宋体"/>
                <w:szCs w:val="21"/>
                <w:lang w:eastAsia="zh-CN"/>
              </w:rPr>
              <w:t>：</w:t>
            </w:r>
            <w:r>
              <w:rPr>
                <w:rFonts w:hint="eastAsia" w:ascii="宋体" w:hAnsi="宋体" w:cs="宋体"/>
                <w:szCs w:val="21"/>
              </w:rPr>
              <w:t>≤1S</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20.8 临床应用模式</w:t>
            </w:r>
            <w:r>
              <w:rPr>
                <w:rFonts w:hint="eastAsia" w:ascii="宋体" w:hAnsi="宋体" w:cs="宋体"/>
                <w:szCs w:val="21"/>
                <w:lang w:eastAsia="zh-CN"/>
              </w:rPr>
              <w:t>：</w:t>
            </w:r>
            <w:r>
              <w:rPr>
                <w:rFonts w:hint="eastAsia" w:ascii="宋体" w:hAnsi="宋体" w:cs="宋体"/>
                <w:szCs w:val="21"/>
              </w:rPr>
              <w:t>支持DIBH、EEBH、SRS、SBRT</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20.9 视野大小</w:t>
            </w:r>
            <w:r>
              <w:rPr>
                <w:rFonts w:hint="eastAsia" w:ascii="宋体" w:hAnsi="宋体" w:cs="宋体"/>
                <w:szCs w:val="21"/>
                <w:lang w:eastAsia="zh-CN"/>
              </w:rPr>
              <w:t>：</w:t>
            </w:r>
            <w:r>
              <w:rPr>
                <w:rFonts w:hint="eastAsia" w:ascii="宋体" w:hAnsi="宋体" w:cs="宋体"/>
                <w:szCs w:val="21"/>
              </w:rPr>
              <w:t>≥1000mm×1000mm×1000mm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20.10帧率</w:t>
            </w:r>
            <w:r>
              <w:rPr>
                <w:rFonts w:hint="eastAsia" w:ascii="宋体" w:hAnsi="宋体" w:cs="宋体"/>
                <w:szCs w:val="21"/>
                <w:lang w:eastAsia="zh-CN"/>
              </w:rPr>
              <w:t>：</w:t>
            </w:r>
            <w:r>
              <w:rPr>
                <w:rFonts w:hint="eastAsia" w:ascii="宋体" w:hAnsi="宋体" w:cs="宋体"/>
                <w:szCs w:val="21"/>
              </w:rPr>
              <w:t>≥10Hz</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20.11配准方法</w:t>
            </w:r>
            <w:r>
              <w:rPr>
                <w:rFonts w:hint="eastAsia" w:ascii="宋体" w:hAnsi="宋体" w:cs="宋体"/>
                <w:szCs w:val="21"/>
                <w:lang w:eastAsia="zh-CN"/>
              </w:rPr>
              <w:t>：</w:t>
            </w:r>
            <w:r>
              <w:rPr>
                <w:rFonts w:hint="eastAsia" w:ascii="宋体" w:hAnsi="宋体" w:cs="宋体"/>
                <w:szCs w:val="21"/>
              </w:rPr>
              <w:t>刚性+多个感兴趣区</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20.12体表辨识统计功能</w:t>
            </w:r>
            <w:r>
              <w:rPr>
                <w:rFonts w:hint="eastAsia" w:ascii="宋体" w:hAnsi="宋体" w:cs="宋体"/>
                <w:szCs w:val="21"/>
                <w:lang w:eastAsia="zh-CN"/>
              </w:rPr>
              <w:t>：</w:t>
            </w:r>
            <w:r>
              <w:rPr>
                <w:rFonts w:hint="eastAsia" w:ascii="宋体" w:hAnsi="宋体" w:cs="宋体"/>
                <w:szCs w:val="21"/>
              </w:rPr>
              <w:t>具备</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20.13</w:t>
            </w:r>
            <w:r>
              <w:rPr>
                <w:rFonts w:hint="eastAsia" w:ascii="宋体" w:hAnsi="宋体" w:cs="宋体"/>
                <w:szCs w:val="21"/>
                <w:lang w:val="en-US" w:eastAsia="zh-CN"/>
              </w:rPr>
              <w:t xml:space="preserve"> </w:t>
            </w:r>
            <w:r>
              <w:rPr>
                <w:rFonts w:hint="eastAsia" w:ascii="宋体" w:hAnsi="宋体" w:cs="宋体"/>
                <w:szCs w:val="21"/>
              </w:rPr>
              <w:t>ROI勾画和配准</w:t>
            </w:r>
            <w:r>
              <w:rPr>
                <w:rFonts w:hint="eastAsia" w:ascii="宋体" w:hAnsi="宋体" w:cs="宋体"/>
                <w:szCs w:val="21"/>
                <w:lang w:eastAsia="zh-CN"/>
              </w:rPr>
              <w:t>：</w:t>
            </w:r>
            <w:r>
              <w:rPr>
                <w:rFonts w:hint="eastAsia" w:ascii="宋体" w:hAnsi="宋体" w:cs="宋体"/>
                <w:szCs w:val="21"/>
              </w:rPr>
              <w:t>具备</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20.14呼吸门控</w:t>
            </w:r>
            <w:r>
              <w:rPr>
                <w:rFonts w:hint="eastAsia" w:ascii="宋体" w:hAnsi="宋体" w:cs="宋体"/>
                <w:szCs w:val="21"/>
                <w:lang w:eastAsia="zh-CN"/>
              </w:rPr>
              <w:t>：</w:t>
            </w:r>
            <w:r>
              <w:rPr>
                <w:rFonts w:hint="eastAsia" w:ascii="宋体" w:hAnsi="宋体" w:cs="宋体"/>
                <w:szCs w:val="21"/>
              </w:rPr>
              <w:t>支持采购方配置直线加速器型号，具备视觉和语音引导</w:t>
            </w:r>
            <w:r>
              <w:rPr>
                <w:rFonts w:hint="eastAsia" w:ascii="宋体" w:hAnsi="宋体" w:cs="宋体"/>
                <w:szCs w:val="21"/>
                <w:lang w:eastAsia="zh-CN"/>
              </w:rPr>
              <w:t>；</w:t>
            </w:r>
            <w:r>
              <w:rPr>
                <w:rFonts w:hint="eastAsia" w:ascii="宋体" w:hAnsi="宋体" w:cs="宋体"/>
                <w:szCs w:val="21"/>
              </w:rPr>
              <w:t>20.15呼吸训练工具</w:t>
            </w:r>
            <w:r>
              <w:rPr>
                <w:rFonts w:hint="eastAsia" w:ascii="宋体" w:hAnsi="宋体" w:cs="宋体"/>
                <w:szCs w:val="21"/>
                <w:lang w:eastAsia="zh-CN"/>
              </w:rPr>
              <w:t>：</w:t>
            </w:r>
            <w:r>
              <w:rPr>
                <w:rFonts w:hint="eastAsia" w:ascii="宋体" w:hAnsi="宋体" w:cs="宋体"/>
                <w:szCs w:val="21"/>
              </w:rPr>
              <w:t>具备</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20.16摆位效率</w:t>
            </w:r>
            <w:r>
              <w:rPr>
                <w:rFonts w:hint="eastAsia" w:ascii="宋体" w:hAnsi="宋体" w:cs="宋体"/>
                <w:szCs w:val="21"/>
                <w:lang w:eastAsia="zh-CN"/>
              </w:rPr>
              <w:t>：</w:t>
            </w:r>
            <w:r>
              <w:rPr>
                <w:rFonts w:hint="eastAsia" w:ascii="宋体" w:hAnsi="宋体" w:cs="宋体"/>
                <w:szCs w:val="21"/>
              </w:rPr>
              <w:t>显示延迟≤100ms</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20.17肤色采集</w:t>
            </w:r>
            <w:r>
              <w:rPr>
                <w:rFonts w:hint="eastAsia" w:ascii="宋体" w:hAnsi="宋体" w:cs="宋体"/>
                <w:szCs w:val="21"/>
                <w:lang w:eastAsia="zh-CN"/>
              </w:rPr>
              <w:t>：</w:t>
            </w:r>
            <w:r>
              <w:rPr>
                <w:rFonts w:hint="eastAsia" w:ascii="宋体" w:hAnsi="宋体" w:cs="宋体"/>
                <w:szCs w:val="21"/>
              </w:rPr>
              <w:t>支持黄色、白色、黑色肤色</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20.18设备质控</w:t>
            </w:r>
            <w:r>
              <w:rPr>
                <w:rFonts w:hint="eastAsia" w:ascii="宋体" w:hAnsi="宋体" w:cs="宋体"/>
                <w:szCs w:val="21"/>
                <w:lang w:eastAsia="zh-CN"/>
              </w:rPr>
              <w:t>：</w:t>
            </w:r>
            <w:r>
              <w:rPr>
                <w:rFonts w:hint="eastAsia" w:ascii="宋体" w:hAnsi="宋体" w:cs="宋体"/>
                <w:szCs w:val="21"/>
              </w:rPr>
              <w:t>配置等中心质控模体，配置自动记录分析软件</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21 剂量仪</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21.1 能完成四种模式测量</w:t>
            </w:r>
            <w:r>
              <w:rPr>
                <w:rFonts w:hint="eastAsia" w:ascii="宋体" w:hAnsi="宋体" w:cs="宋体"/>
                <w:szCs w:val="21"/>
                <w:lang w:eastAsia="zh-CN"/>
              </w:rPr>
              <w:t>：</w:t>
            </w:r>
            <w:r>
              <w:rPr>
                <w:rFonts w:hint="eastAsia" w:ascii="宋体" w:hAnsi="宋体" w:cs="宋体"/>
                <w:szCs w:val="21"/>
              </w:rPr>
              <w:t>电荷、电流、剂量、剂量率</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21.2 测量通道</w:t>
            </w:r>
            <w:r>
              <w:rPr>
                <w:rFonts w:hint="eastAsia" w:ascii="宋体" w:hAnsi="宋体" w:cs="宋体"/>
                <w:szCs w:val="21"/>
                <w:lang w:eastAsia="zh-CN"/>
              </w:rPr>
              <w:t>：</w:t>
            </w:r>
            <w:r>
              <w:rPr>
                <w:rFonts w:hint="eastAsia" w:ascii="宋体" w:hAnsi="宋体" w:cs="宋体"/>
                <w:szCs w:val="21"/>
              </w:rPr>
              <w:t>两个独立测量通道</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3</w:t>
            </w:r>
            <w:r>
              <w:rPr>
                <w:rFonts w:hint="eastAsia" w:ascii="宋体" w:hAnsi="宋体" w:cs="宋体"/>
                <w:szCs w:val="21"/>
              </w:rPr>
              <w:t xml:space="preserve"> 预热时间</w:t>
            </w:r>
            <w:r>
              <w:rPr>
                <w:rFonts w:hint="eastAsia" w:ascii="宋体" w:hAnsi="宋体" w:cs="宋体"/>
                <w:szCs w:val="21"/>
                <w:lang w:eastAsia="zh-CN"/>
              </w:rPr>
              <w:t>：</w:t>
            </w:r>
            <w:r>
              <w:rPr>
                <w:rFonts w:hint="eastAsia" w:ascii="宋体" w:hAnsi="宋体" w:cs="宋体"/>
                <w:szCs w:val="21"/>
              </w:rPr>
              <w:t>≤1分钟</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4</w:t>
            </w:r>
            <w:r>
              <w:rPr>
                <w:rFonts w:hint="eastAsia" w:ascii="宋体" w:hAnsi="宋体" w:cs="宋体"/>
                <w:szCs w:val="21"/>
              </w:rPr>
              <w:t xml:space="preserve"> 漏电：＜1fA</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5</w:t>
            </w:r>
            <w:r>
              <w:rPr>
                <w:rFonts w:hint="eastAsia" w:ascii="宋体" w:hAnsi="宋体" w:cs="宋体"/>
                <w:szCs w:val="21"/>
              </w:rPr>
              <w:t xml:space="preserve"> 数据更新频率：0.01秒</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6</w:t>
            </w:r>
            <w:r>
              <w:rPr>
                <w:rFonts w:hint="eastAsia" w:ascii="宋体" w:hAnsi="宋体" w:cs="宋体"/>
                <w:szCs w:val="21"/>
              </w:rPr>
              <w:t xml:space="preserve"> 精确性：≤±0.1%</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7</w:t>
            </w:r>
            <w:r>
              <w:rPr>
                <w:rFonts w:hint="eastAsia" w:ascii="宋体" w:hAnsi="宋体" w:cs="宋体"/>
                <w:szCs w:val="21"/>
              </w:rPr>
              <w:t xml:space="preserve"> 温度气压自动修正</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21.</w:t>
            </w:r>
            <w:r>
              <w:rPr>
                <w:rFonts w:hint="eastAsia" w:ascii="宋体" w:hAnsi="宋体" w:cs="宋体"/>
                <w:szCs w:val="21"/>
                <w:lang w:val="en-US" w:eastAsia="zh-CN"/>
              </w:rPr>
              <w:t>8</w:t>
            </w:r>
            <w:r>
              <w:rPr>
                <w:rFonts w:hint="eastAsia" w:ascii="宋体" w:hAnsi="宋体" w:cs="宋体"/>
                <w:szCs w:val="21"/>
              </w:rPr>
              <w:t xml:space="preserve"> 电离室管理库</w:t>
            </w:r>
            <w:r>
              <w:rPr>
                <w:rFonts w:hint="eastAsia" w:ascii="宋体" w:hAnsi="宋体" w:cs="宋体"/>
                <w:szCs w:val="21"/>
                <w:lang w:eastAsia="zh-CN"/>
              </w:rPr>
              <w:t>：</w:t>
            </w:r>
            <w:r>
              <w:rPr>
                <w:rFonts w:hint="eastAsia" w:ascii="宋体" w:hAnsi="宋体" w:cs="宋体"/>
                <w:szCs w:val="21"/>
              </w:rPr>
              <w:t>容量≥50</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9</w:t>
            </w:r>
            <w:r>
              <w:rPr>
                <w:rFonts w:hint="eastAsia" w:ascii="宋体" w:hAnsi="宋体" w:cs="宋体"/>
                <w:szCs w:val="21"/>
              </w:rPr>
              <w:t xml:space="preserve"> 电脑内置软件功能：可方便调整所有参数；隐藏或显示不同功能；21.</w:t>
            </w:r>
            <w:r>
              <w:rPr>
                <w:rFonts w:hint="eastAsia" w:ascii="宋体" w:hAnsi="宋体" w:cs="宋体"/>
                <w:szCs w:val="21"/>
                <w:lang w:val="en-US" w:eastAsia="zh-CN"/>
              </w:rPr>
              <w:t>10</w:t>
            </w:r>
            <w:r>
              <w:rPr>
                <w:rFonts w:hint="eastAsia" w:ascii="宋体" w:hAnsi="宋体" w:cs="宋体"/>
                <w:szCs w:val="21"/>
              </w:rPr>
              <w:t xml:space="preserve"> 计量院标定证书</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21.</w:t>
            </w:r>
            <w:r>
              <w:rPr>
                <w:rFonts w:hint="eastAsia" w:ascii="宋体" w:hAnsi="宋体" w:cs="宋体"/>
                <w:szCs w:val="21"/>
                <w:lang w:val="en-US" w:eastAsia="zh-CN"/>
              </w:rPr>
              <w:t>11</w:t>
            </w:r>
            <w:r>
              <w:rPr>
                <w:rFonts w:hint="eastAsia" w:ascii="宋体" w:hAnsi="宋体" w:cs="宋体"/>
                <w:szCs w:val="21"/>
              </w:rPr>
              <w:t xml:space="preserve"> 扩展功能</w:t>
            </w:r>
            <w:r>
              <w:rPr>
                <w:rFonts w:hint="eastAsia" w:ascii="宋体" w:hAnsi="宋体" w:cs="宋体"/>
                <w:szCs w:val="21"/>
                <w:lang w:eastAsia="zh-CN"/>
              </w:rPr>
              <w:t>：</w:t>
            </w:r>
            <w:r>
              <w:rPr>
                <w:rFonts w:hint="eastAsia" w:ascii="宋体" w:hAnsi="宋体" w:cs="宋体"/>
                <w:szCs w:val="21"/>
              </w:rPr>
              <w:t>搭配一维水箱可实现PDD检测</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12</w:t>
            </w:r>
            <w:r>
              <w:rPr>
                <w:rFonts w:hint="eastAsia" w:ascii="宋体" w:hAnsi="宋体" w:cs="宋体"/>
                <w:szCs w:val="21"/>
              </w:rPr>
              <w:t xml:space="preserve"> 常规电离室1个，有效体积≤0.6cc</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13</w:t>
            </w:r>
            <w:r>
              <w:rPr>
                <w:rFonts w:hint="eastAsia" w:ascii="宋体" w:hAnsi="宋体" w:cs="宋体"/>
                <w:szCs w:val="21"/>
              </w:rPr>
              <w:t xml:space="preserve"> 微型电离室1个，有效体积≤0.008cc</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21.</w:t>
            </w:r>
            <w:r>
              <w:rPr>
                <w:rFonts w:hint="eastAsia" w:ascii="宋体" w:hAnsi="宋体" w:cs="宋体"/>
                <w:szCs w:val="21"/>
                <w:lang w:val="en-US" w:eastAsia="zh-CN"/>
              </w:rPr>
              <w:t>14</w:t>
            </w:r>
            <w:r>
              <w:rPr>
                <w:rFonts w:hint="eastAsia" w:ascii="宋体" w:hAnsi="宋体" w:cs="宋体"/>
                <w:szCs w:val="21"/>
              </w:rPr>
              <w:t xml:space="preserve"> 开口小水箱1套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w:t>
            </w:r>
            <w:r>
              <w:rPr>
                <w:rFonts w:hint="eastAsia" w:ascii="宋体" w:hAnsi="宋体" w:cs="宋体"/>
                <w:szCs w:val="21"/>
                <w:lang w:val="en-US" w:eastAsia="zh-CN"/>
              </w:rPr>
              <w:t xml:space="preserve"> </w:t>
            </w:r>
            <w:r>
              <w:rPr>
                <w:rFonts w:hint="eastAsia" w:ascii="宋体" w:hAnsi="宋体" w:cs="宋体"/>
                <w:szCs w:val="21"/>
              </w:rPr>
              <w:t>三维水箱</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22.1 分体式设计，储水库与升降台为分体设计，储水车储水量≥210L；需带有双向泵，流速≥20L/min</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22.2水箱箱体</w:t>
            </w:r>
            <w:r>
              <w:rPr>
                <w:rFonts w:hint="eastAsia" w:ascii="宋体" w:hAnsi="宋体" w:cs="宋体"/>
                <w:szCs w:val="21"/>
                <w:lang w:eastAsia="zh-CN"/>
              </w:rPr>
              <w:t>：</w:t>
            </w:r>
            <w:r>
              <w:rPr>
                <w:rFonts w:hint="eastAsia" w:ascii="宋体" w:hAnsi="宋体" w:cs="宋体"/>
                <w:szCs w:val="21"/>
              </w:rPr>
              <w:t>方形设计，具有三个扫描机械轴，箱体壁厚/材料：≥13 mm/亚克力</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22.3 有效扫描范围：X≥470mm，Y≥470mm，Z≥410mm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22.4位置验证：三维机械轴皆具有刻度尺，可随时验证到位精度，位置反馈：采用磁致伸缩传感器技术，实时反馈三维机械轴的位置</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22.5到位重复性、到位精度：≤±0.1mm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22.6定位速度：≥50mm/s</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★22.7扫描模式：支持步进扫描与连续扫描，最大扫描速度：≥20mm/s</w:t>
            </w:r>
          </w:p>
          <w:p>
            <w:pPr>
              <w:textAlignment w:val="auto"/>
              <w:rPr>
                <w:rFonts w:hint="eastAsia" w:ascii="宋体" w:hAnsi="宋体" w:cs="宋体"/>
                <w:szCs w:val="21"/>
              </w:rPr>
            </w:pPr>
            <w:r>
              <w:rPr>
                <w:rFonts w:hint="eastAsia" w:ascii="宋体" w:hAnsi="宋体" w:cs="宋体"/>
                <w:szCs w:val="21"/>
              </w:rPr>
              <w:t>22.8控制单元与双通道静电计需独立于水箱箱体，且与水箱之间的连接线长度需≥5m，以确保测量中受散射辐射尽可能少</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22.9双通道静电计：最大偏压需≥± 500 V，最小分辨率需≤5 x 10-16 A，时间常数需≤20ms</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22.10探测器：配有2个电离室，1个灵敏体积≤0.13cm³探头，1个≤0.01cm³小野探头</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22.11电动升降台：最大负载需≥250 kg，垂直升降范围需≥500 mm，垂直升降速度需≥13mm/s</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22.12可针对主流TPS（包括Eclipse、Monaco、Pinnacle、Tomotherapy、Raystation、Oncentra等）所需射束数据范围，自动生成队列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22.13支持系列队列管理功能，包括加载、保存、编辑、复制、粘贴等，支持提供优化队列的功能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22.14提供队列合理性检查功能，可以实时检查并显示队列中每个项目的当前状态，包括项目是否有效、测量前是否需要停顿、项目是否已测量等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22.15提供步进扫描与连续扫描模式，支持在线显示测量值</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22.16支持扫描数据类型包含绝对点的剂量测量、Profile、PDD、二维面剂量测量等，支持一维、二维与三维的数据显示模式</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22.17提供自适应的扫描优化功能，在步进扫描与连续扫描模式，支持单条曲线中调整不同区间的扫描步距或速度，高效与高精确性兼得。</w:t>
            </w:r>
          </w:p>
          <w:p>
            <w:pPr>
              <w:textAlignment w:val="auto"/>
              <w:rPr>
                <w:rFonts w:hint="eastAsia" w:ascii="宋体" w:hAnsi="宋体" w:cs="宋体"/>
                <w:szCs w:val="21"/>
              </w:rPr>
            </w:pPr>
            <w:r>
              <w:rPr>
                <w:rFonts w:hint="eastAsia" w:ascii="宋体" w:hAnsi="宋体" w:cs="宋体"/>
                <w:szCs w:val="21"/>
              </w:rPr>
              <w:t>22.18支持输出因子测量结果以表格方式呈现，且归一至10cm x 10cm射野，自动检查射束中心轴位置，且可以一键点击修正扫描坐标系零位</w:t>
            </w:r>
            <w:r>
              <w:rPr>
                <w:rFonts w:hint="eastAsia" w:ascii="宋体" w:hAnsi="宋体" w:cs="宋体"/>
                <w:szCs w:val="21"/>
                <w:lang w:eastAsia="zh-CN"/>
              </w:rPr>
              <w:t>。</w:t>
            </w:r>
            <w:r>
              <w:rPr>
                <w:rFonts w:hint="eastAsia" w:ascii="宋体" w:hAnsi="宋体" w:cs="宋体"/>
                <w:szCs w:val="21"/>
              </w:rPr>
              <w:t>22.19支持每条曲线在线显示数据分析结果、支持计算并显示等剂量线或二维数据、支持根据需要定制机构特定的协议、支持对2条曲线数据执行1D伽马分析并直观显示通过与否</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22.20支持所有国际协议与行业协议，包括但不限于NACP、IAEA、AAPM、IEC、ICRU、NCS、Varian、Elekta、Siemens等，协议种类数≥10种</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22.21支持对数据执行平滑处理并可选择多种算法，支持提供编辑曲线的功能，支持对测量数据执行算数运算</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22.22</w:t>
            </w:r>
            <w:r>
              <w:rPr>
                <w:rFonts w:hint="eastAsia" w:ascii="宋体" w:hAnsi="宋体" w:cs="宋体"/>
                <w:szCs w:val="21"/>
                <w:lang w:val="en-US" w:eastAsia="zh-CN"/>
              </w:rPr>
              <w:t xml:space="preserve"> </w:t>
            </w:r>
            <w:r>
              <w:rPr>
                <w:rFonts w:hint="eastAsia" w:ascii="宋体" w:hAnsi="宋体" w:cs="宋体"/>
                <w:szCs w:val="21"/>
              </w:rPr>
              <w:t>支持重新采样的功能，可调整测量数据的分辨率，支持基于PDD数据计算TPR/TMR</w:t>
            </w:r>
            <w:r>
              <w:rPr>
                <w:rFonts w:hint="eastAsia" w:ascii="宋体" w:hAnsi="宋体" w:cs="宋体"/>
                <w:szCs w:val="21"/>
              </w:rPr>
              <w:tab/>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22.23</w:t>
            </w:r>
            <w:r>
              <w:rPr>
                <w:rFonts w:hint="eastAsia" w:ascii="宋体" w:hAnsi="宋体" w:cs="宋体"/>
                <w:szCs w:val="21"/>
                <w:lang w:val="en-US" w:eastAsia="zh-CN"/>
              </w:rPr>
              <w:t xml:space="preserve"> </w:t>
            </w:r>
            <w:r>
              <w:rPr>
                <w:rFonts w:hint="eastAsia" w:ascii="宋体" w:hAnsi="宋体" w:cs="宋体"/>
                <w:szCs w:val="21"/>
              </w:rPr>
              <w:t>支持合并2组2D扫描，能够将2组具有相同测量设置的2D扫描合并至一组，支持基于扫描的2D数据并生成完整的阵列和设置阵列的步距</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22.24</w:t>
            </w:r>
            <w:r>
              <w:rPr>
                <w:rFonts w:hint="eastAsia" w:ascii="宋体" w:hAnsi="宋体" w:cs="宋体"/>
                <w:szCs w:val="21"/>
                <w:lang w:val="en-US" w:eastAsia="zh-CN"/>
              </w:rPr>
              <w:t xml:space="preserve"> </w:t>
            </w:r>
            <w:r>
              <w:rPr>
                <w:rFonts w:hint="eastAsia" w:ascii="宋体" w:hAnsi="宋体" w:cs="宋体"/>
                <w:szCs w:val="21"/>
              </w:rPr>
              <w:t>支持从二维阵列数据中提取需要的曲线数据或数据组，支持将测量的电离曲线转换为吸收剂量曲线</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22.25支持创建数据处理宏，将多个数据处理步骤，如中心轴修正、平滑、编辑、移动等，设置为一个宏快捷键，一键点击即可运行多个数据处理步骤</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22.26</w:t>
            </w:r>
            <w:r>
              <w:rPr>
                <w:rFonts w:hint="eastAsia" w:ascii="宋体" w:hAnsi="宋体" w:cs="宋体"/>
                <w:szCs w:val="21"/>
                <w:lang w:val="en-US" w:eastAsia="zh-CN"/>
              </w:rPr>
              <w:t xml:space="preserve"> </w:t>
            </w:r>
            <w:r>
              <w:rPr>
                <w:rFonts w:hint="eastAsia" w:ascii="宋体" w:hAnsi="宋体" w:cs="宋体"/>
                <w:szCs w:val="21"/>
              </w:rPr>
              <w:t>附带中心数据库服务器软件：提供数据存储、归档和备份的功能，确保数据存储安全性，提供数据管理功能，包括数据挖掘、筛选与搜索功能；确保数据安全性，保护数据免受未经授权的访问、使用、泄露、破坏或修改，提供用户管理与访问权限设置功能</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22.27支持集中管理所有用户账户、许可、设施、治疗单元、探测器以及校准信息</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22.28</w:t>
            </w:r>
            <w:r>
              <w:rPr>
                <w:rFonts w:hint="eastAsia" w:ascii="宋体" w:hAnsi="宋体" w:cs="宋体"/>
                <w:szCs w:val="21"/>
                <w:lang w:val="en-US" w:eastAsia="zh-CN"/>
              </w:rPr>
              <w:t xml:space="preserve">  </w:t>
            </w:r>
            <w:r>
              <w:rPr>
                <w:rFonts w:hint="eastAsia" w:ascii="宋体" w:hAnsi="宋体" w:cs="宋体"/>
                <w:szCs w:val="21"/>
              </w:rPr>
              <w:t>RTPS接口</w:t>
            </w:r>
            <w:r>
              <w:rPr>
                <w:rFonts w:hint="eastAsia" w:ascii="宋体" w:hAnsi="宋体" w:cs="宋体"/>
                <w:szCs w:val="21"/>
                <w:lang w:eastAsia="zh-CN"/>
              </w:rPr>
              <w:t>：</w:t>
            </w:r>
            <w:r>
              <w:rPr>
                <w:rFonts w:hint="eastAsia" w:ascii="宋体" w:hAnsi="宋体" w:cs="宋体"/>
                <w:szCs w:val="21"/>
              </w:rPr>
              <w:t>至少包含以下放疗计划系统的接口：Eclipse、Monaco、Pinnacle、RayStation、Oncentra、CMS、Multipan、Tomo Therapy</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22.29证书：提供中华人民共和国医疗器械注册证、FDA证书、CE证书</w:t>
            </w:r>
            <w:r>
              <w:rPr>
                <w:rFonts w:hint="eastAsia" w:ascii="宋体" w:hAnsi="宋体" w:cs="宋体"/>
                <w:szCs w:val="21"/>
                <w:lang w:eastAsia="zh-CN"/>
              </w:rPr>
              <w:t>。</w:t>
            </w:r>
            <w:r>
              <w:rPr>
                <w:rFonts w:hint="eastAsia" w:ascii="宋体" w:hAnsi="宋体" w:cs="宋体"/>
                <w:szCs w:val="21"/>
              </w:rPr>
              <w:t>23 平面剂量验证系统</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23.1应用程序</w:t>
            </w:r>
            <w:r>
              <w:rPr>
                <w:rFonts w:hint="eastAsia" w:ascii="宋体" w:hAnsi="宋体" w:cs="宋体"/>
                <w:szCs w:val="21"/>
                <w:lang w:eastAsia="zh-CN"/>
              </w:rPr>
              <w:t>：</w:t>
            </w:r>
            <w:r>
              <w:rPr>
                <w:rFonts w:hint="eastAsia" w:ascii="宋体" w:hAnsi="宋体" w:cs="宋体"/>
                <w:szCs w:val="21"/>
              </w:rPr>
              <w:t>支持执行加速器日常QA检测及周检、年检等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23.2探测器数量</w:t>
            </w:r>
            <w:r>
              <w:rPr>
                <w:rFonts w:hint="eastAsia" w:ascii="宋体" w:hAnsi="宋体" w:cs="宋体"/>
                <w:szCs w:val="21"/>
                <w:lang w:eastAsia="zh-CN"/>
              </w:rPr>
              <w:t>：</w:t>
            </w:r>
            <w:r>
              <w:rPr>
                <w:rFonts w:hint="eastAsia" w:ascii="宋体" w:hAnsi="宋体" w:cs="宋体"/>
                <w:szCs w:val="21"/>
              </w:rPr>
              <w:t>≥250个</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★23.3探测器阵列可测量长度</w:t>
            </w:r>
            <w:r>
              <w:rPr>
                <w:rFonts w:hint="eastAsia" w:ascii="宋体" w:hAnsi="宋体" w:cs="宋体"/>
                <w:szCs w:val="21"/>
                <w:lang w:eastAsia="zh-CN"/>
              </w:rPr>
              <w:t>：</w:t>
            </w:r>
            <w:r>
              <w:rPr>
                <w:rFonts w:hint="eastAsia" w:ascii="宋体" w:hAnsi="宋体" w:cs="宋体"/>
                <w:szCs w:val="21"/>
              </w:rPr>
              <w:t>X轴：＞30cm，Y轴：＞30cm，对角线：＞40cm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23.4照射野尺寸</w:t>
            </w:r>
            <w:r>
              <w:rPr>
                <w:rFonts w:hint="eastAsia" w:ascii="宋体" w:hAnsi="宋体" w:cs="宋体"/>
                <w:szCs w:val="21"/>
                <w:lang w:eastAsia="zh-CN"/>
              </w:rPr>
              <w:t>：</w:t>
            </w:r>
            <w:r>
              <w:rPr>
                <w:rFonts w:hint="eastAsia" w:ascii="宋体" w:hAnsi="宋体" w:cs="宋体"/>
                <w:szCs w:val="21"/>
              </w:rPr>
              <w:t>≥32.0cm×32.0cm</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23.5采样频率</w:t>
            </w:r>
            <w:r>
              <w:rPr>
                <w:rFonts w:hint="eastAsia" w:ascii="宋体" w:hAnsi="宋体" w:cs="宋体"/>
                <w:szCs w:val="21"/>
                <w:lang w:eastAsia="zh-CN"/>
              </w:rPr>
              <w:t>：</w:t>
            </w:r>
            <w:r>
              <w:rPr>
                <w:rFonts w:hint="eastAsia" w:ascii="宋体" w:hAnsi="宋体" w:cs="宋体"/>
                <w:szCs w:val="21"/>
              </w:rPr>
              <w:t>≤125ms</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23.6探测器有效体积</w:t>
            </w:r>
            <w:r>
              <w:rPr>
                <w:rFonts w:hint="eastAsia" w:ascii="宋体" w:hAnsi="宋体" w:cs="宋体"/>
                <w:szCs w:val="21"/>
                <w:lang w:eastAsia="zh-CN"/>
              </w:rPr>
              <w:t>：</w:t>
            </w:r>
            <w:r>
              <w:rPr>
                <w:rFonts w:hint="eastAsia" w:ascii="宋体" w:hAnsi="宋体" w:cs="宋体"/>
                <w:szCs w:val="21"/>
              </w:rPr>
              <w:t>≤0.05cm³</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23.7辐射测量</w:t>
            </w:r>
            <w:r>
              <w:rPr>
                <w:rFonts w:hint="eastAsia" w:ascii="宋体" w:hAnsi="宋体" w:cs="宋体"/>
                <w:szCs w:val="21"/>
                <w:lang w:eastAsia="zh-CN"/>
              </w:rPr>
              <w:t>：</w:t>
            </w:r>
            <w:r>
              <w:rPr>
                <w:rFonts w:hint="eastAsia" w:ascii="宋体" w:hAnsi="宋体" w:cs="宋体"/>
                <w:szCs w:val="21"/>
              </w:rPr>
              <w:t>光子线: Co-60 -25 MV，电子线: 4 MeV -25MeV</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23.8数据分析</w:t>
            </w:r>
            <w:r>
              <w:rPr>
                <w:rFonts w:hint="eastAsia" w:ascii="宋体" w:hAnsi="宋体" w:cs="宋体"/>
                <w:szCs w:val="21"/>
                <w:lang w:eastAsia="zh-CN"/>
              </w:rPr>
              <w:t>：</w:t>
            </w:r>
            <w:r>
              <w:rPr>
                <w:rFonts w:hint="eastAsia" w:ascii="宋体" w:hAnsi="宋体" w:cs="宋体"/>
                <w:szCs w:val="21"/>
              </w:rPr>
              <w:t>加速器线束稳定性、线束调试和测量、电子线能量测量、准直器和机架旋转重力下垂、灯光野照射野一致性、平坦度和对称性、线束初始特征校验（小MU照射野QA）、准直器到位精度等</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23.9测量模式</w:t>
            </w:r>
            <w:r>
              <w:rPr>
                <w:rFonts w:hint="eastAsia" w:ascii="宋体" w:hAnsi="宋体" w:cs="宋体"/>
                <w:szCs w:val="21"/>
                <w:lang w:eastAsia="zh-CN"/>
              </w:rPr>
              <w:t>：</w:t>
            </w:r>
            <w:r>
              <w:rPr>
                <w:rFonts w:hint="eastAsia" w:ascii="宋体" w:hAnsi="宋体" w:cs="宋体"/>
                <w:szCs w:val="21"/>
              </w:rPr>
              <w:t>实时测量，可实时检测射线的稳定性、实时调机；</w:t>
            </w:r>
          </w:p>
          <w:p>
            <w:pPr>
              <w:textAlignment w:val="auto"/>
              <w:rPr>
                <w:rFonts w:hint="eastAsia" w:ascii="宋体" w:hAnsi="宋体" w:cs="宋体"/>
                <w:szCs w:val="21"/>
              </w:rPr>
            </w:pPr>
            <w:r>
              <w:rPr>
                <w:rFonts w:hint="eastAsia" w:ascii="宋体" w:hAnsi="宋体" w:cs="宋体"/>
                <w:szCs w:val="21"/>
              </w:rPr>
              <w:t>23.10电影模式实时回放</w:t>
            </w:r>
            <w:r>
              <w:rPr>
                <w:rFonts w:hint="eastAsia" w:ascii="宋体" w:hAnsi="宋体" w:cs="宋体"/>
                <w:szCs w:val="21"/>
                <w:lang w:eastAsia="zh-CN"/>
              </w:rPr>
              <w:t>，</w:t>
            </w:r>
            <w:r>
              <w:rPr>
                <w:rFonts w:hint="eastAsia" w:ascii="宋体" w:hAnsi="宋体" w:cs="宋体"/>
                <w:szCs w:val="21"/>
              </w:rPr>
              <w:t>图形、射线调整</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23.11射线数据和时间比较</w:t>
            </w:r>
            <w:r>
              <w:rPr>
                <w:rFonts w:hint="eastAsia" w:ascii="宋体" w:hAnsi="宋体" w:cs="宋体"/>
                <w:szCs w:val="21"/>
                <w:lang w:eastAsia="zh-CN"/>
              </w:rPr>
              <w:t>：</w:t>
            </w:r>
            <w:r>
              <w:rPr>
                <w:rFonts w:hint="eastAsia" w:ascii="宋体" w:hAnsi="宋体" w:cs="宋体"/>
                <w:szCs w:val="21"/>
              </w:rPr>
              <w:t>总剂量、剂量率、剂量、脉冲，脉冲、秒和点对称</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23.12测量结果拼接</w:t>
            </w:r>
            <w:r>
              <w:rPr>
                <w:rFonts w:hint="eastAsia" w:ascii="宋体" w:hAnsi="宋体" w:cs="宋体"/>
                <w:szCs w:val="21"/>
                <w:lang w:eastAsia="zh-CN"/>
              </w:rPr>
              <w:t>：</w:t>
            </w:r>
            <w:r>
              <w:rPr>
                <w:rFonts w:hint="eastAsia" w:ascii="宋体" w:hAnsi="宋体" w:cs="宋体"/>
                <w:szCs w:val="21"/>
              </w:rPr>
              <w:t>可将两次测量图形进行拼接，得到大野测量结果</w:t>
            </w:r>
            <w:r>
              <w:rPr>
                <w:rFonts w:hint="eastAsia" w:ascii="宋体" w:hAnsi="宋体" w:cs="宋体"/>
                <w:szCs w:val="21"/>
                <w:lang w:eastAsia="zh-CN"/>
              </w:rPr>
              <w:t>；</w:t>
            </w:r>
            <w:r>
              <w:rPr>
                <w:rFonts w:hint="eastAsia" w:ascii="宋体" w:hAnsi="宋体" w:cs="宋体"/>
                <w:szCs w:val="21"/>
              </w:rPr>
              <w:t>23.13阵列标定方式</w:t>
            </w:r>
            <w:r>
              <w:rPr>
                <w:rFonts w:hint="eastAsia" w:ascii="宋体" w:hAnsi="宋体" w:cs="宋体"/>
                <w:szCs w:val="21"/>
                <w:lang w:eastAsia="zh-CN"/>
              </w:rPr>
              <w:t>：</w:t>
            </w:r>
            <w:r>
              <w:rPr>
                <w:rFonts w:hint="eastAsia" w:ascii="宋体" w:hAnsi="宋体" w:cs="宋体"/>
                <w:szCs w:val="21"/>
              </w:rPr>
              <w:t>软件向导协助用户自行完成探头相对灵敏度标定，无需返厂刻度</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w:t>
            </w:r>
            <w:r>
              <w:rPr>
                <w:rFonts w:hint="eastAsia" w:ascii="宋体" w:hAnsi="宋体" w:cs="宋体"/>
                <w:szCs w:val="21"/>
                <w:lang w:val="en-US" w:eastAsia="zh-CN"/>
              </w:rPr>
              <w:t xml:space="preserve"> </w:t>
            </w:r>
            <w:r>
              <w:rPr>
                <w:rFonts w:hint="eastAsia" w:ascii="宋体" w:hAnsi="宋体" w:cs="宋体"/>
                <w:szCs w:val="21"/>
              </w:rPr>
              <w:t>数据管理系统</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24.1支持对接主流肿瘤信息系统系统，包括Elekta MOSAIQ, Varian ARIA；包括但不限于支持实时抓取Dicom数据，PDF报告文件，接收OIS转发数据，可根据授权接口或数据库，定制开发数据集成或转发存储方案，进行系统对接</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24.2支持对接HIS系统；支持授权数据库或数据接口服务的集成；支持现有HIS系统Web界面的链接集成</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24.3支持对接PACS系统</w:t>
            </w:r>
            <w:r>
              <w:rPr>
                <w:rFonts w:hint="eastAsia" w:ascii="宋体" w:hAnsi="宋体" w:cs="宋体"/>
                <w:szCs w:val="21"/>
                <w:lang w:eastAsia="zh-CN"/>
              </w:rPr>
              <w:t>；</w:t>
            </w:r>
            <w:r>
              <w:rPr>
                <w:rFonts w:hint="eastAsia" w:ascii="宋体" w:hAnsi="宋体" w:cs="宋体"/>
                <w:szCs w:val="21"/>
              </w:rPr>
              <w:t>支持接收PACS系统转发数据；支持PACS系统的数据主动拉取及拉取规则的配置</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24.4支持对接收及抓取到的Dicom数据的自动分类解析存储，支持各类数据入组条件的设定</w:t>
            </w:r>
            <w:r>
              <w:rPr>
                <w:rFonts w:hint="eastAsia" w:ascii="宋体" w:hAnsi="宋体" w:cs="宋体"/>
                <w:szCs w:val="21"/>
                <w:lang w:eastAsia="zh-CN"/>
              </w:rPr>
              <w:t>；</w:t>
            </w:r>
            <w:r>
              <w:rPr>
                <w:rFonts w:hint="eastAsia" w:ascii="宋体" w:hAnsi="宋体" w:cs="宋体"/>
                <w:szCs w:val="21"/>
              </w:rPr>
              <w:t xml:space="preserve">                           </w:t>
            </w:r>
          </w:p>
          <w:p>
            <w:pPr>
              <w:textAlignment w:val="auto"/>
              <w:rPr>
                <w:rFonts w:hint="eastAsia" w:ascii="宋体" w:hAnsi="宋体" w:cs="宋体"/>
                <w:szCs w:val="21"/>
              </w:rPr>
            </w:pPr>
            <w:r>
              <w:rPr>
                <w:rFonts w:hint="eastAsia" w:ascii="宋体" w:hAnsi="宋体" w:cs="宋体"/>
                <w:szCs w:val="21"/>
              </w:rPr>
              <w:t>24.5支持Dicom数据关联关系的解析与整理，同患者数据关联关系的建立与数据过滤,数据按影像、结构、计划、剂量、治疗记录的层级关系建立绑定关系，基于DICOM REG文件的影像数据配准关系的识别与建立等</w:t>
            </w:r>
            <w:r>
              <w:rPr>
                <w:rFonts w:hint="eastAsia" w:ascii="宋体" w:hAnsi="宋体" w:cs="宋体"/>
                <w:szCs w:val="21"/>
                <w:lang w:eastAsia="zh-CN"/>
              </w:rPr>
              <w:t>；</w:t>
            </w:r>
            <w:r>
              <w:rPr>
                <w:rFonts w:hint="eastAsia" w:ascii="宋体" w:hAnsi="宋体" w:cs="宋体"/>
                <w:szCs w:val="21"/>
              </w:rPr>
              <w:t>24.6支持PDF等其它格式文件的本地存储及索引建立</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24.7支持数据日历、折线图、饼图等形式，基于时间和数据类别等不同维度展示数据统计结果</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24.8支持分析数据变化趋势，展示数据变化结果；支持数据统计结果的对比展示；持数据统计结果及详细信息的PDF导出</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24.9支持影像数据查询；支持的检索条件包括但不限于：患者信息、产商、影像扫描参数、影像方位、影像入组条件、影像获取途径等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24.10支持结构数据查询；支持的检索条件包括但不限于：结构创建时间、审核时间、审核人员、结构命名、结构包含ROI等信息</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eastAsia="宋体" w:cs="宋体"/>
                <w:szCs w:val="21"/>
                <w:lang w:eastAsia="zh-CN"/>
              </w:rPr>
            </w:pPr>
            <w:r>
              <w:rPr>
                <w:rFonts w:hint="eastAsia" w:ascii="宋体" w:hAnsi="宋体" w:cs="宋体"/>
                <w:szCs w:val="21"/>
              </w:rPr>
              <w:t>24.11支持剂量及计划数据查询；支持的检索条件包括但不限于：计划审核时间，计划设计者及审核者，处方剂量，分次信息，计划种类等</w:t>
            </w:r>
            <w:r>
              <w:rPr>
                <w:rFonts w:hint="eastAsia" w:ascii="宋体" w:hAnsi="宋体" w:cs="宋体"/>
                <w:szCs w:val="21"/>
                <w:lang w:eastAsia="zh-CN"/>
              </w:rPr>
              <w:t>；</w:t>
            </w:r>
          </w:p>
          <w:p>
            <w:pPr>
              <w:textAlignment w:val="auto"/>
              <w:rPr>
                <w:rFonts w:hint="eastAsia" w:ascii="宋体" w:hAnsi="宋体" w:cs="宋体"/>
                <w:szCs w:val="21"/>
              </w:rPr>
            </w:pPr>
            <w:r>
              <w:rPr>
                <w:rFonts w:hint="eastAsia" w:ascii="宋体" w:hAnsi="宋体" w:cs="宋体"/>
                <w:szCs w:val="21"/>
              </w:rPr>
              <w:t>24.12支持治疗记录数据查询；支持的检索条件包括但不限于</w:t>
            </w:r>
            <w:r>
              <w:rPr>
                <w:rFonts w:hint="eastAsia" w:ascii="宋体" w:hAnsi="宋体" w:cs="宋体"/>
                <w:szCs w:val="21"/>
                <w:lang w:eastAsia="zh-CN"/>
              </w:rPr>
              <w:t>：</w:t>
            </w:r>
            <w:r>
              <w:rPr>
                <w:rFonts w:hint="eastAsia" w:ascii="宋体" w:hAnsi="宋体" w:cs="宋体"/>
                <w:szCs w:val="21"/>
              </w:rPr>
              <w:t>治疗时间，治疗分次，累积剂量，关联计划信息，治疗设备等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24.13支持结构数据、计划数据详细信息查询，支持展示结构名称，结构类型，结构体积，结构中心点位置等；支持以PDF格式导出结果详细信息</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24.14支持计划数据详细信息查询，支持展示来自计划数据的详细信息，计划所属患者信息，该计划治疗记录等信息；支持以PDF格式导出详细信息</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24.15支持科研数据集的创建与管理，如建立个人账户；账户独立，可独立配置数据访问及所属数据集权限等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24.16支持基于数据集，在系统内创建组学分析、靶区勾画、结构对比等工作任务；工作任务在系统服务端后台执行，支持客户端实时任务追踪24.17支持第三方数据服务的集成；需使用系统提供的数据访问接口，并可在系统指定环境内运行，并按系统要求给出进度信息等</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★24.18</w:t>
            </w:r>
            <w:r>
              <w:rPr>
                <w:rFonts w:hint="eastAsia" w:ascii="宋体" w:hAnsi="宋体" w:cs="宋体"/>
                <w:szCs w:val="21"/>
              </w:rPr>
              <w:tab/>
            </w:r>
            <w:r>
              <w:rPr>
                <w:rFonts w:hint="eastAsia" w:ascii="宋体" w:hAnsi="宋体" w:cs="宋体"/>
                <w:szCs w:val="21"/>
              </w:rPr>
              <w:t>系统采用B/S架构，支持多个Web端的同时访问</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24.19含一套专用GPU工作站，支持数据存储扩展，可独立增设硬盘矩阵或数据存储服务器</w:t>
            </w:r>
            <w:r>
              <w:rPr>
                <w:rFonts w:hint="eastAsia" w:ascii="宋体" w:hAnsi="宋体" w:cs="宋体"/>
                <w:szCs w:val="21"/>
                <w:lang w:eastAsia="zh-CN"/>
              </w:rPr>
              <w:t>。</w:t>
            </w:r>
            <w:r>
              <w:rPr>
                <w:rFonts w:hint="eastAsia" w:ascii="宋体" w:hAnsi="宋体" w:cs="宋体"/>
                <w:szCs w:val="21"/>
              </w:rPr>
              <w:tab/>
            </w:r>
          </w:p>
          <w:p>
            <w:pPr>
              <w:textAlignment w:val="auto"/>
              <w:rPr>
                <w:rFonts w:hint="eastAsia" w:ascii="宋体" w:hAnsi="宋体" w:cs="宋体"/>
                <w:szCs w:val="21"/>
              </w:rPr>
            </w:pPr>
            <w:r>
              <w:rPr>
                <w:rFonts w:hint="eastAsia" w:ascii="宋体" w:hAnsi="宋体" w:cs="宋体"/>
                <w:szCs w:val="21"/>
              </w:rPr>
              <w:t>▲25设备配置清单</w:t>
            </w:r>
          </w:p>
          <w:p>
            <w:pPr>
              <w:textAlignment w:val="auto"/>
              <w:rPr>
                <w:rFonts w:hint="eastAsia" w:ascii="宋体" w:hAnsi="宋体" w:eastAsia="宋体" w:cs="宋体"/>
                <w:szCs w:val="21"/>
                <w:lang w:eastAsia="zh-CN"/>
              </w:rPr>
            </w:pPr>
            <w:r>
              <w:rPr>
                <w:rFonts w:hint="eastAsia" w:ascii="宋体" w:hAnsi="宋体" w:cs="宋体"/>
                <w:szCs w:val="21"/>
              </w:rPr>
              <w:t>25.1直线加速器主机：放射治疗主机1套、电动多叶准直器（MLC）系统1套、EPID系统1套、四维影像引导或机载影像引导1套、治疗技术：三维适</w:t>
            </w:r>
            <w:r>
              <w:rPr>
                <w:rFonts w:hint="eastAsia" w:ascii="宋体" w:hAnsi="宋体" w:cs="宋体"/>
                <w:szCs w:val="21"/>
                <w:lang w:eastAsia="zh-CN"/>
              </w:rPr>
              <w:t>形</w:t>
            </w:r>
            <w:r>
              <w:rPr>
                <w:rFonts w:hint="eastAsia" w:ascii="宋体" w:hAnsi="宋体" w:cs="宋体"/>
                <w:szCs w:val="21"/>
              </w:rPr>
              <w:t>、静态调强、动态调强、动态弧治疗、容积旋转调强治疗VMAT、立体定向放射治疗1套、在线自适应放疗</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25.2放射治疗计划系统：物理师工作站4台</w:t>
            </w:r>
            <w:r>
              <w:rPr>
                <w:rFonts w:hint="eastAsia" w:ascii="宋体" w:hAnsi="宋体" w:cs="宋体"/>
                <w:szCs w:val="21"/>
                <w:lang w:eastAsia="zh-CN"/>
              </w:rPr>
              <w:t>、</w:t>
            </w:r>
            <w:r>
              <w:rPr>
                <w:rFonts w:hint="eastAsia" w:ascii="宋体" w:hAnsi="宋体" w:cs="宋体"/>
                <w:szCs w:val="21"/>
              </w:rPr>
              <w:t>医生工作站6台</w:t>
            </w:r>
            <w:r>
              <w:rPr>
                <w:rFonts w:hint="eastAsia" w:ascii="宋体" w:hAnsi="宋体" w:cs="宋体"/>
                <w:szCs w:val="21"/>
                <w:lang w:eastAsia="zh-CN"/>
              </w:rPr>
              <w:t>。</w:t>
            </w:r>
          </w:p>
          <w:p>
            <w:pPr>
              <w:textAlignment w:val="auto"/>
              <w:rPr>
                <w:rFonts w:hint="eastAsia" w:ascii="宋体" w:hAnsi="宋体" w:eastAsia="宋体" w:cs="宋体"/>
                <w:szCs w:val="21"/>
                <w:lang w:eastAsia="zh-CN"/>
              </w:rPr>
            </w:pPr>
            <w:r>
              <w:rPr>
                <w:rFonts w:hint="eastAsia" w:ascii="宋体" w:hAnsi="宋体" w:cs="宋体"/>
                <w:szCs w:val="21"/>
              </w:rPr>
              <w:t>25.3放疗专用肿瘤信息管理系统1套、放疗专用激光灯系统1套、三维调强验证系统1套、立体定向放疗质控模体1套、二次剂量验证系统1套</w:t>
            </w:r>
            <w:r>
              <w:rPr>
                <w:rFonts w:hint="eastAsia" w:ascii="宋体" w:hAnsi="宋体" w:cs="宋体"/>
                <w:szCs w:val="21"/>
                <w:lang w:eastAsia="zh-CN"/>
              </w:rPr>
              <w:t>、</w:t>
            </w:r>
            <w:r>
              <w:rPr>
                <w:rFonts w:hint="eastAsia" w:ascii="宋体" w:hAnsi="宋体" w:cs="宋体"/>
                <w:szCs w:val="21"/>
              </w:rPr>
              <w:t>晨检仪1套、辐射防护设备和其他设备1套、体位固定方案1套、配备体表光学定位系统1套、剂量仪1套</w:t>
            </w:r>
            <w:r>
              <w:rPr>
                <w:rFonts w:hint="eastAsia" w:ascii="宋体" w:hAnsi="宋体" w:cs="宋体"/>
                <w:szCs w:val="21"/>
                <w:lang w:eastAsia="zh-CN"/>
              </w:rPr>
              <w:t>、</w:t>
            </w:r>
            <w:r>
              <w:rPr>
                <w:rFonts w:hint="eastAsia" w:ascii="宋体" w:hAnsi="宋体" w:cs="宋体"/>
                <w:szCs w:val="21"/>
              </w:rPr>
              <w:t>三维水箱1套、平面剂量验证系统1套、数据管理系统1套</w:t>
            </w:r>
            <w:r>
              <w:rPr>
                <w:rFonts w:hint="eastAsia" w:ascii="宋体" w:hAnsi="宋体" w:cs="宋体"/>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（一）质量保证期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（二）交货时间及地点</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1.交货时间：合同</w:t>
      </w:r>
      <w:r>
        <w:rPr>
          <w:rFonts w:hint="eastAsia" w:ascii="宋体" w:hAnsi="宋体" w:cs="宋体"/>
          <w:color w:val="000000" w:themeColor="text1"/>
          <w:sz w:val="21"/>
          <w:szCs w:val="21"/>
          <w:lang w:eastAsia="zh"/>
          <w14:textFill>
            <w14:solidFill>
              <w14:schemeClr w14:val="tx1"/>
            </w14:solidFill>
          </w14:textFill>
        </w:rPr>
        <w:t>签订</w:t>
      </w:r>
      <w:r>
        <w:rPr>
          <w:rFonts w:hint="eastAsia" w:ascii="宋体" w:hAnsi="宋体" w:cs="宋体"/>
          <w:color w:val="000000" w:themeColor="text1"/>
          <w:sz w:val="21"/>
          <w:szCs w:val="21"/>
          <w14:textFill>
            <w14:solidFill>
              <w14:schemeClr w14:val="tx1"/>
            </w14:solidFill>
          </w14:textFill>
        </w:rPr>
        <w:t>之日起，中标供应商在30个日历日内向采购人交付全部货物。</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2.交货地点：广西范围内，采购人指定地点。</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（三）服务标准、服务效率、售后服务要求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5.投标产品必须是全新，且生产日期为</w:t>
      </w:r>
      <w:r>
        <w:rPr>
          <w:rFonts w:hint="eastAsia" w:ascii="宋体" w:hAnsi="宋体" w:cs="宋体"/>
          <w:color w:val="000000" w:themeColor="text1"/>
          <w:sz w:val="21"/>
          <w:szCs w:val="21"/>
          <w:lang w:val="en-US" w:eastAsia="zh"/>
          <w14:textFill>
            <w14:solidFill>
              <w14:schemeClr w14:val="tx1"/>
            </w14:solidFill>
          </w14:textFill>
        </w:rPr>
        <w:t>1年内</w:t>
      </w:r>
      <w:r>
        <w:rPr>
          <w:rFonts w:hint="eastAsia" w:ascii="宋体" w:hAnsi="宋体" w:cs="宋体"/>
          <w:color w:val="000000" w:themeColor="text1"/>
          <w:sz w:val="21"/>
          <w:szCs w:val="21"/>
          <w14:textFill>
            <w14:solidFill>
              <w14:schemeClr w14:val="tx1"/>
            </w14:solidFill>
          </w14:textFill>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6.安装调试完成后，中标供应商对采购人提供</w:t>
      </w:r>
      <w:r>
        <w:rPr>
          <w:rFonts w:hint="eastAsia" w:ascii="宋体" w:hAnsi="宋体" w:cs="宋体"/>
          <w:color w:val="000000" w:themeColor="text1"/>
          <w:sz w:val="21"/>
          <w:szCs w:val="21"/>
          <w:lang w:val="en-US" w:eastAsia="zh-CN"/>
          <w14:textFill>
            <w14:solidFill>
              <w14:schemeClr w14:val="tx1"/>
            </w14:solidFill>
          </w14:textFill>
        </w:rPr>
        <w:t>不少于3人</w:t>
      </w:r>
      <w:r>
        <w:rPr>
          <w:rFonts w:hint="eastAsia" w:ascii="宋体" w:hAnsi="宋体" w:cs="宋体"/>
          <w:color w:val="000000" w:themeColor="text1"/>
          <w:sz w:val="21"/>
          <w:szCs w:val="21"/>
          <w14:textFill>
            <w14:solidFill>
              <w14:schemeClr w14:val="tx1"/>
            </w14:solidFill>
          </w14:textFill>
        </w:rPr>
        <w:t>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w:t>
      </w:r>
      <w:r>
        <w:rPr>
          <w:rFonts w:hint="eastAsia" w:ascii="宋体" w:hAnsi="宋体" w:cs="宋体"/>
          <w:color w:val="auto"/>
          <w:sz w:val="21"/>
          <w:szCs w:val="21"/>
          <w:lang w:val="en-US" w:eastAsia="zh-CN"/>
        </w:rPr>
        <w:t>5</w:t>
      </w:r>
      <w:r>
        <w:rPr>
          <w:rFonts w:hint="eastAsia" w:ascii="宋体" w:hAnsi="宋体" w:cs="宋体"/>
          <w:color w:val="auto"/>
          <w:sz w:val="21"/>
          <w:szCs w:val="21"/>
        </w:rPr>
        <w:t>0%；签订合同后，采购人收到中标供应商开具合法有效的合同款</w:t>
      </w:r>
      <w:r>
        <w:rPr>
          <w:rFonts w:hint="eastAsia" w:ascii="宋体" w:hAnsi="宋体" w:cs="宋体"/>
          <w:color w:val="auto"/>
          <w:sz w:val="21"/>
          <w:szCs w:val="21"/>
          <w:lang w:val="en-US" w:eastAsia="zh-CN"/>
        </w:rPr>
        <w:t>5</w:t>
      </w:r>
      <w:r>
        <w:rPr>
          <w:rFonts w:hint="eastAsia" w:ascii="宋体" w:hAnsi="宋体" w:cs="宋体"/>
          <w:color w:val="auto"/>
          <w:sz w:val="21"/>
          <w:szCs w:val="21"/>
        </w:rPr>
        <w:t>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50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（五）履约保证金</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（六）投标报价要求</w:t>
      </w:r>
    </w:p>
    <w:p>
      <w:pPr>
        <w:spacing w:line="460" w:lineRule="exact"/>
        <w:ind w:firstLine="420" w:firstLineChars="200"/>
        <w:rPr>
          <w:rFonts w:hint="eastAsia" w:ascii="宋体" w:hAnsi="宋体" w:eastAsia="宋体" w:cs="宋体"/>
          <w:color w:val="000000" w:themeColor="text1"/>
          <w:sz w:val="21"/>
          <w:szCs w:val="21"/>
          <w:lang w:eastAsia="zh"/>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投标报价包含货物、货物标准附件、备品备件、专用工具、设备安装辅材、施工辅材、包装、运输、装卸、保险、连接医院信息系统接口费（如</w:t>
      </w:r>
      <w:r>
        <w:rPr>
          <w:rFonts w:hint="eastAsia" w:ascii="宋体" w:hAnsi="宋体" w:cs="宋体"/>
          <w:color w:val="000000" w:themeColor="text1"/>
          <w:sz w:val="21"/>
          <w:szCs w:val="21"/>
          <w:lang w:eastAsia="zh"/>
          <w14:textFill>
            <w14:solidFill>
              <w14:schemeClr w14:val="tx1"/>
            </w14:solidFill>
          </w14:textFill>
        </w:rPr>
        <w:t>HIS、PACS</w:t>
      </w:r>
      <w:r>
        <w:rPr>
          <w:rFonts w:hint="eastAsia" w:ascii="宋体" w:hAnsi="宋体" w:cs="宋体"/>
          <w:color w:val="000000" w:themeColor="text1"/>
          <w:sz w:val="21"/>
          <w:szCs w:val="21"/>
          <w14:textFill>
            <w14:solidFill>
              <w14:schemeClr w14:val="tx1"/>
            </w14:solidFill>
          </w14:textFill>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（七）政策性加分条件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符合节能环保等国家政策要求。</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（八）验收标准及验收方法</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3.中标供应商需承担供货时产品质量抽样检测的相关费用以及项目验收时发生的一切费用。</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4.安装合格后15日内提供安装调试报告与原厂技术规格书(或Datasheet)。本条所有涉及的文件均提供纸质与电子档。</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7.验收标准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1)项目招标文件及中标供应商投标文件中的“技术响应表”,逐条验收；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2)项目招标文件及中标供应商投标文件中的“商务响应表”,逐条验收；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3)中标供应商投标文件中其他技术、服务、商务性的说明、承诺事项，逐条验收。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4)国家相关法律、法规、标准和规范等。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（九）进口产品说明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本标项接受进口设备参与投标。</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（十）规范标准</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执行现行的强制执行的国家、行业、地方标准。</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（十一）产品资料及说明文件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pStyle w:val="21"/>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2.进口产品的投标人在供货时必须提供所投标产品生产厂家合法授权的厂家代理商出具的授权书，原件备查。</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（十二）采购预算价及最高限价</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投标报价超采购预算（含单项采购预算，如有）及最高限价（含单项最高限价，如有）的投标无效。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（十三）医疗器械注册或备案要求</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（十四）其它</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投标人根据自身情况提供项目实施方案，内容包括但不限于：</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w:t>
      </w:r>
    </w:p>
    <w:p>
      <w:pPr>
        <w:spacing w:line="42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4.生产厂家售后服务承诺书等。</w:t>
      </w:r>
    </w:p>
    <w:bookmarkEnd w:id="10"/>
    <w:p>
      <w:pPr>
        <w:pStyle w:val="2"/>
        <w:ind w:firstLine="420" w:firstLineChars="200"/>
        <w:rPr>
          <w:rStyle w:val="191"/>
          <w:rFonts w:hint="eastAsia" w:ascii="宋体" w:hAnsi="宋体" w:eastAsia="宋体" w:cs="宋体"/>
          <w:b/>
          <w:bCs/>
          <w:color w:val="auto"/>
          <w:kern w:val="2"/>
          <w:sz w:val="21"/>
          <w:szCs w:val="21"/>
          <w:u w:val="none"/>
        </w:rPr>
      </w:pPr>
    </w:p>
    <w:p>
      <w:pPr>
        <w:pStyle w:val="2"/>
        <w:numPr>
          <w:ilvl w:val="0"/>
          <w:numId w:val="4"/>
        </w:numPr>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医用直线加速器(分标1)</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广西医科大学第一附属医院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numPr>
          <w:ilvl w:val="-1"/>
          <w:numId w:val="0"/>
        </w:numPr>
        <w:spacing w:line="400" w:lineRule="exact"/>
        <w:ind w:firstLine="0" w:firstLineChars="0"/>
        <w:rPr>
          <w:rFonts w:hint="eastAsia" w:ascii="宋体" w:hAnsi="宋体" w:cs="宋体"/>
          <w:b/>
          <w:bCs/>
          <w:color w:val="000000" w:themeColor="text1"/>
          <w:sz w:val="24"/>
          <w14:textFill>
            <w14:solidFill>
              <w14:schemeClr w14:val="tx1"/>
            </w14:solidFill>
          </w14:textFill>
        </w:rPr>
      </w:pPr>
      <w:r>
        <w:rPr>
          <w:rStyle w:val="191"/>
          <w:rFonts w:hint="eastAsia" w:ascii="宋体" w:hAnsi="宋体"/>
          <w:b/>
          <w:bCs/>
          <w:color w:val="auto"/>
          <w:szCs w:val="21"/>
          <w:u w:val="none"/>
        </w:rPr>
        <w:br w:type="page"/>
      </w:r>
      <w:r>
        <w:rPr>
          <w:rStyle w:val="191"/>
          <w:rFonts w:hint="eastAsia" w:ascii="宋体" w:hAnsi="宋体" w:cs="宋体"/>
          <w:b/>
          <w:bCs/>
          <w:color w:val="auto"/>
          <w:sz w:val="21"/>
          <w:szCs w:val="21"/>
          <w:u w:val="none"/>
        </w:rPr>
        <w:t>分标2：</w:t>
      </w:r>
      <w:r>
        <w:rPr>
          <w:rFonts w:hint="eastAsia" w:ascii="宋体" w:hAnsi="宋体" w:cs="宋体"/>
          <w:b/>
          <w:bCs/>
          <w:color w:val="000000" w:themeColor="text1"/>
          <w:sz w:val="21"/>
          <w:szCs w:val="21"/>
          <w:lang w:eastAsia="zh"/>
          <w14:textFill>
            <w14:solidFill>
              <w14:schemeClr w14:val="tx1"/>
            </w14:solidFill>
          </w14:textFill>
        </w:rPr>
        <w:t>医用直线加速器(分标2)</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CN"/>
        </w:rPr>
        <w:t>2636</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olor w:val="auto"/>
          <w:lang w:val="en-US" w:eastAsia="zh-CN"/>
        </w:rPr>
        <w:t>2500</w:t>
      </w:r>
      <w:r>
        <w:rPr>
          <w:rFonts w:hint="eastAsia"/>
          <w:color w:val="auto"/>
          <w:lang w:eastAsia="zh-CN"/>
        </w:rPr>
        <w:t>万元（</w:t>
      </w:r>
      <w:r>
        <w:rPr>
          <w:rFonts w:hint="eastAsia"/>
          <w:color w:val="auto"/>
          <w:lang w:val="en-US" w:eastAsia="zh-CN"/>
        </w:rPr>
        <w:t>2500</w:t>
      </w:r>
      <w:r>
        <w:rPr>
          <w:rFonts w:hint="eastAsia"/>
          <w:color w:val="auto"/>
          <w:lang w:eastAsia="zh-CN"/>
        </w:rPr>
        <w:t>万元/套）</w:t>
      </w:r>
    </w:p>
    <w:p>
      <w:pPr>
        <w:pStyle w:val="2"/>
        <w:rPr>
          <w:rFonts w:hint="eastAsia"/>
        </w:rPr>
      </w:pPr>
    </w:p>
    <w:p>
      <w:pPr>
        <w:ind w:firstLine="420"/>
        <w:rPr>
          <w:rFonts w:hint="eastAsia"/>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序号</w:t>
            </w:r>
          </w:p>
        </w:tc>
        <w:tc>
          <w:tcPr>
            <w:tcW w:w="53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货物名称</w:t>
            </w:r>
          </w:p>
        </w:tc>
        <w:tc>
          <w:tcPr>
            <w:tcW w:w="463"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数量</w:t>
            </w:r>
          </w:p>
        </w:tc>
        <w:tc>
          <w:tcPr>
            <w:tcW w:w="465"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单位</w:t>
            </w:r>
          </w:p>
        </w:tc>
        <w:tc>
          <w:tcPr>
            <w:tcW w:w="3210" w:type="pct"/>
            <w:vAlign w:val="center"/>
          </w:tcPr>
          <w:p>
            <w:pPr>
              <w:tabs>
                <w:tab w:val="left" w:pos="180"/>
                <w:tab w:val="left" w:pos="1620"/>
              </w:tabs>
              <w:jc w:val="center"/>
              <w:rPr>
                <w:rFonts w:hint="eastAsia" w:ascii="宋体" w:hAnsi="宋体" w:eastAsia="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eastAsia="宋体" w:cs="宋体"/>
                <w:szCs w:val="21"/>
              </w:rPr>
            </w:pPr>
            <w:r>
              <w:rPr>
                <w:rFonts w:hint="eastAsia" w:ascii="宋体" w:hAnsi="宋体" w:eastAsia="宋体" w:cs="宋体"/>
                <w:szCs w:val="21"/>
              </w:rPr>
              <w:t>1</w:t>
            </w:r>
          </w:p>
        </w:tc>
        <w:tc>
          <w:tcPr>
            <w:tcW w:w="535" w:type="pct"/>
            <w:vAlign w:val="center"/>
          </w:tcPr>
          <w:p>
            <w:pPr>
              <w:snapToGrid w:val="0"/>
              <w:jc w:val="center"/>
              <w:rPr>
                <w:rFonts w:hint="eastAsia" w:ascii="宋体" w:hAnsi="宋体" w:cs="宋体"/>
                <w:szCs w:val="21"/>
              </w:rPr>
            </w:pPr>
            <w:r>
              <w:rPr>
                <w:rFonts w:hint="eastAsia" w:ascii="宋体" w:hAnsi="宋体" w:cs="宋体"/>
                <w:b/>
                <w:bCs/>
                <w:color w:val="000000" w:themeColor="text1"/>
                <w:sz w:val="21"/>
                <w:szCs w:val="21"/>
                <w:lang w:eastAsia="zh"/>
                <w14:textFill>
                  <w14:solidFill>
                    <w14:schemeClr w14:val="tx1"/>
                  </w14:solidFill>
                </w14:textFill>
              </w:rPr>
              <w:t>医用直线加速器(分标2)</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套</w:t>
            </w:r>
          </w:p>
        </w:tc>
        <w:tc>
          <w:tcPr>
            <w:tcW w:w="3210" w:type="pct"/>
            <w:vAlign w:val="center"/>
          </w:tcPr>
          <w:p>
            <w:pPr>
              <w:textAlignment w:val="baseline"/>
              <w:rPr>
                <w:rFonts w:hint="eastAsia" w:ascii="宋体" w:hAnsi="宋体" w:eastAsia="宋体" w:cs="宋体"/>
                <w:szCs w:val="21"/>
              </w:rPr>
            </w:pPr>
            <w:r>
              <w:rPr>
                <w:rFonts w:hint="eastAsia" w:ascii="宋体" w:hAnsi="宋体" w:eastAsia="宋体" w:cs="宋体"/>
                <w:szCs w:val="21"/>
              </w:rPr>
              <w:t>1放射治疗设备要求概述</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w:t>
            </w:r>
            <w:r>
              <w:rPr>
                <w:rFonts w:hint="eastAsia" w:ascii="宋体" w:hAnsi="宋体" w:eastAsia="宋体" w:cs="宋体"/>
                <w:szCs w:val="21"/>
              </w:rPr>
              <w:tab/>
            </w:r>
            <w:r>
              <w:rPr>
                <w:rFonts w:hint="eastAsia" w:ascii="宋体" w:hAnsi="宋体" w:eastAsia="宋体" w:cs="宋体"/>
                <w:szCs w:val="21"/>
              </w:rPr>
              <w:t>本次招标标的为一套图像引导放射治疗系统，含直线加速器一台及配套软件系统，包括放射治疗计划系统（含医生工作站及物理师工作站）、放疗质控系统、肿瘤信息管理系统以及其他支持系统运行所必需的软件和硬件。</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▲1.2投标方应进行现场勘察，根据勘察情况提供适合现有备选加速器机房的空间、承重、防护、运输通道尺寸与承重等条件的机型</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1.3投标方针对所投设备满足现场条件（空间、承重、防护、运输通道尺寸与承重等）提供注册证、技术白皮书、勘探图纸等支撑材料和书面承诺函。如所投机型无法满足现场条件，投标方承担相关责任，采购人有权终止合同</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2机架运动系统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▲2.1机架结构</w:t>
            </w:r>
            <w:r>
              <w:rPr>
                <w:rFonts w:hint="eastAsia" w:ascii="宋体" w:hAnsi="宋体" w:cs="宋体"/>
                <w:szCs w:val="21"/>
                <w:lang w:eastAsia="zh-CN"/>
              </w:rPr>
              <w:t>：</w:t>
            </w:r>
            <w:r>
              <w:rPr>
                <w:rFonts w:hint="eastAsia" w:ascii="宋体" w:hAnsi="宋体" w:eastAsia="宋体" w:cs="宋体"/>
                <w:szCs w:val="21"/>
              </w:rPr>
              <w:t>环形机架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▲2.2机架旋转角度</w:t>
            </w:r>
            <w:r>
              <w:rPr>
                <w:rFonts w:hint="eastAsia" w:ascii="宋体" w:hAnsi="宋体" w:cs="宋体"/>
                <w:szCs w:val="21"/>
                <w:lang w:eastAsia="zh-CN"/>
              </w:rPr>
              <w:t>：</w:t>
            </w:r>
            <w:r>
              <w:rPr>
                <w:rFonts w:hint="eastAsia" w:ascii="宋体" w:hAnsi="宋体" w:eastAsia="宋体" w:cs="宋体"/>
                <w:szCs w:val="21"/>
              </w:rPr>
              <w:t>≥360°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▲2.3机架旋转速度</w:t>
            </w:r>
            <w:r>
              <w:rPr>
                <w:rFonts w:hint="eastAsia" w:ascii="宋体" w:hAnsi="宋体" w:cs="宋体"/>
                <w:szCs w:val="21"/>
                <w:lang w:eastAsia="zh-CN"/>
              </w:rPr>
              <w:t>：</w:t>
            </w:r>
            <w:r>
              <w:rPr>
                <w:rFonts w:hint="eastAsia" w:ascii="宋体" w:hAnsi="宋体" w:eastAsia="宋体" w:cs="宋体"/>
                <w:szCs w:val="21"/>
              </w:rPr>
              <w:t>≥4RPM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2.4</w:t>
            </w:r>
            <w:r>
              <w:rPr>
                <w:rFonts w:hint="eastAsia" w:ascii="宋体" w:hAnsi="宋体" w:eastAsia="宋体" w:cs="宋体"/>
                <w:szCs w:val="21"/>
              </w:rPr>
              <w:tab/>
            </w:r>
            <w:r>
              <w:rPr>
                <w:rFonts w:hint="eastAsia" w:ascii="宋体" w:hAnsi="宋体" w:eastAsia="宋体" w:cs="宋体"/>
                <w:szCs w:val="21"/>
              </w:rPr>
              <w:t>机械等中心精度（机架+治疗头）</w:t>
            </w:r>
            <w:r>
              <w:rPr>
                <w:rFonts w:hint="eastAsia" w:ascii="宋体" w:hAnsi="宋体" w:cs="宋体"/>
                <w:szCs w:val="21"/>
                <w:lang w:eastAsia="zh-CN"/>
              </w:rPr>
              <w:t>：</w:t>
            </w:r>
            <w:r>
              <w:rPr>
                <w:rFonts w:hint="eastAsia" w:ascii="宋体" w:hAnsi="宋体" w:eastAsia="宋体" w:cs="宋体"/>
                <w:szCs w:val="21"/>
              </w:rPr>
              <w:t>≤1mm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2.5</w:t>
            </w:r>
            <w:r>
              <w:rPr>
                <w:rFonts w:hint="eastAsia" w:ascii="宋体" w:hAnsi="宋体" w:eastAsia="宋体" w:cs="宋体"/>
                <w:szCs w:val="21"/>
              </w:rPr>
              <w:tab/>
            </w:r>
            <w:r>
              <w:rPr>
                <w:rFonts w:hint="eastAsia" w:ascii="宋体" w:hAnsi="宋体" w:eastAsia="宋体" w:cs="宋体"/>
                <w:szCs w:val="21"/>
              </w:rPr>
              <w:t>治疗头孔径</w:t>
            </w:r>
            <w:r>
              <w:rPr>
                <w:rFonts w:hint="eastAsia" w:ascii="宋体" w:hAnsi="宋体" w:cs="宋体"/>
                <w:szCs w:val="21"/>
                <w:lang w:eastAsia="zh-CN"/>
              </w:rPr>
              <w:t>：</w:t>
            </w:r>
            <w:r>
              <w:rPr>
                <w:rFonts w:hint="eastAsia" w:ascii="宋体" w:hAnsi="宋体" w:eastAsia="宋体" w:cs="宋体"/>
                <w:szCs w:val="21"/>
              </w:rPr>
              <w:t>≥90cm±1cm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2.6</w:t>
            </w:r>
            <w:r>
              <w:rPr>
                <w:rFonts w:hint="eastAsia" w:ascii="宋体" w:hAnsi="宋体" w:eastAsia="宋体" w:cs="宋体"/>
                <w:szCs w:val="21"/>
              </w:rPr>
              <w:tab/>
            </w:r>
            <w:r>
              <w:rPr>
                <w:rFonts w:hint="eastAsia" w:ascii="宋体" w:hAnsi="宋体" w:eastAsia="宋体" w:cs="宋体"/>
                <w:szCs w:val="21"/>
              </w:rPr>
              <w:t>治疗净空间半径</w:t>
            </w:r>
            <w:r>
              <w:rPr>
                <w:rFonts w:hint="eastAsia" w:ascii="宋体" w:hAnsi="宋体" w:cs="宋体"/>
                <w:szCs w:val="21"/>
                <w:lang w:eastAsia="zh-CN"/>
              </w:rPr>
              <w:t>：</w:t>
            </w:r>
            <w:r>
              <w:rPr>
                <w:rFonts w:hint="eastAsia" w:ascii="宋体" w:hAnsi="宋体" w:eastAsia="宋体" w:cs="宋体"/>
                <w:szCs w:val="21"/>
              </w:rPr>
              <w:t>≥50cm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2.7</w:t>
            </w:r>
            <w:r>
              <w:rPr>
                <w:rFonts w:hint="eastAsia" w:ascii="宋体" w:hAnsi="宋体" w:eastAsia="宋体" w:cs="宋体"/>
                <w:szCs w:val="21"/>
              </w:rPr>
              <w:tab/>
            </w:r>
            <w:r>
              <w:rPr>
                <w:rFonts w:hint="eastAsia" w:ascii="宋体" w:hAnsi="宋体" w:eastAsia="宋体" w:cs="宋体"/>
                <w:szCs w:val="21"/>
              </w:rPr>
              <w:t>机架旋转精度</w:t>
            </w:r>
            <w:r>
              <w:rPr>
                <w:rFonts w:hint="eastAsia" w:ascii="宋体" w:hAnsi="宋体" w:cs="宋体"/>
                <w:szCs w:val="21"/>
                <w:lang w:eastAsia="zh-CN"/>
              </w:rPr>
              <w:t>：</w:t>
            </w:r>
            <w:r>
              <w:rPr>
                <w:rFonts w:hint="eastAsia" w:ascii="宋体" w:hAnsi="宋体" w:eastAsia="宋体" w:cs="宋体"/>
                <w:szCs w:val="21"/>
              </w:rPr>
              <w:t>≤0.5°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2.8</w:t>
            </w:r>
            <w:r>
              <w:rPr>
                <w:rFonts w:hint="eastAsia" w:ascii="宋体" w:hAnsi="宋体" w:eastAsia="宋体" w:cs="宋体"/>
                <w:szCs w:val="21"/>
              </w:rPr>
              <w:tab/>
            </w:r>
            <w:r>
              <w:rPr>
                <w:rFonts w:hint="eastAsia" w:ascii="宋体" w:hAnsi="宋体" w:eastAsia="宋体" w:cs="宋体"/>
                <w:szCs w:val="21"/>
              </w:rPr>
              <w:t>机架、准直器和治疗床等中心精度</w:t>
            </w:r>
            <w:r>
              <w:rPr>
                <w:rFonts w:hint="eastAsia" w:ascii="宋体" w:hAnsi="宋体" w:cs="宋体"/>
                <w:szCs w:val="21"/>
                <w:lang w:eastAsia="zh-CN"/>
              </w:rPr>
              <w:t>：</w:t>
            </w:r>
            <w:r>
              <w:rPr>
                <w:rFonts w:hint="eastAsia" w:ascii="宋体" w:hAnsi="宋体" w:eastAsia="宋体" w:cs="宋体"/>
                <w:szCs w:val="21"/>
              </w:rPr>
              <w:t>≤1mm</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
              </w:rPr>
              <w:t xml:space="preserve">9 </w:t>
            </w:r>
            <w:r>
              <w:rPr>
                <w:rFonts w:hint="eastAsia" w:ascii="宋体" w:hAnsi="宋体" w:eastAsia="宋体" w:cs="宋体"/>
                <w:szCs w:val="21"/>
              </w:rPr>
              <w:t>等中心高度</w:t>
            </w:r>
            <w:r>
              <w:rPr>
                <w:rFonts w:hint="eastAsia" w:ascii="宋体" w:hAnsi="宋体" w:cs="宋体"/>
                <w:szCs w:val="21"/>
                <w:lang w:eastAsia="zh-CN"/>
              </w:rPr>
              <w:t>：</w:t>
            </w:r>
            <w:r>
              <w:rPr>
                <w:rFonts w:hint="eastAsia" w:ascii="宋体" w:hAnsi="宋体" w:eastAsia="宋体" w:cs="宋体"/>
                <w:szCs w:val="21"/>
              </w:rPr>
              <w:t>≤120cm</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3束流系统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3.1加速管类型</w:t>
            </w:r>
            <w:r>
              <w:rPr>
                <w:rFonts w:hint="eastAsia" w:ascii="宋体" w:hAnsi="宋体" w:cs="宋体"/>
                <w:szCs w:val="21"/>
                <w:lang w:eastAsia="zh-CN"/>
              </w:rPr>
              <w:t>：</w:t>
            </w:r>
            <w:r>
              <w:rPr>
                <w:rFonts w:hint="eastAsia" w:ascii="宋体" w:hAnsi="宋体" w:eastAsia="宋体" w:cs="宋体"/>
                <w:szCs w:val="21"/>
              </w:rPr>
              <w:t>驻波或行波</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3.2电子枪</w:t>
            </w:r>
            <w:r>
              <w:rPr>
                <w:rFonts w:hint="eastAsia" w:ascii="宋体" w:hAnsi="宋体" w:cs="宋体"/>
                <w:szCs w:val="21"/>
                <w:lang w:eastAsia="zh-CN"/>
              </w:rPr>
              <w:t>：</w:t>
            </w:r>
            <w:r>
              <w:rPr>
                <w:rFonts w:hint="eastAsia" w:ascii="宋体" w:hAnsi="宋体" w:eastAsia="宋体" w:cs="宋体"/>
                <w:szCs w:val="21"/>
              </w:rPr>
              <w:t>栅控三极电子枪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3.3微波功率装置</w:t>
            </w:r>
            <w:r>
              <w:rPr>
                <w:rFonts w:hint="eastAsia" w:ascii="宋体" w:hAnsi="宋体" w:cs="宋体"/>
                <w:szCs w:val="21"/>
                <w:lang w:eastAsia="zh-CN"/>
              </w:rPr>
              <w:t>：</w:t>
            </w:r>
            <w:r>
              <w:rPr>
                <w:rFonts w:hint="eastAsia" w:ascii="宋体" w:hAnsi="宋体" w:eastAsia="宋体" w:cs="宋体"/>
                <w:szCs w:val="21"/>
              </w:rPr>
              <w:t>磁控管</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3.4微波功率源输出峰值功率</w:t>
            </w:r>
            <w:r>
              <w:rPr>
                <w:rFonts w:hint="eastAsia" w:ascii="宋体" w:hAnsi="宋体" w:cs="宋体"/>
                <w:szCs w:val="21"/>
                <w:lang w:eastAsia="zh-CN"/>
              </w:rPr>
              <w:t>：</w:t>
            </w:r>
            <w:r>
              <w:rPr>
                <w:rFonts w:hint="eastAsia" w:ascii="宋体" w:hAnsi="宋体" w:eastAsia="宋体" w:cs="宋体"/>
                <w:szCs w:val="21"/>
              </w:rPr>
              <w:t>≥2.6MW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3.5</w:t>
            </w:r>
            <w:r>
              <w:rPr>
                <w:rFonts w:hint="eastAsia" w:ascii="宋体" w:hAnsi="宋体" w:eastAsia="宋体" w:cs="宋体"/>
                <w:szCs w:val="21"/>
              </w:rPr>
              <w:tab/>
            </w:r>
            <w:r>
              <w:rPr>
                <w:rFonts w:hint="eastAsia" w:ascii="宋体" w:hAnsi="宋体" w:eastAsia="宋体" w:cs="宋体"/>
                <w:szCs w:val="21"/>
              </w:rPr>
              <w:t>6MV X射线</w:t>
            </w:r>
            <w:r>
              <w:rPr>
                <w:rFonts w:hint="eastAsia" w:ascii="宋体" w:hAnsi="宋体" w:cs="宋体"/>
                <w:szCs w:val="21"/>
                <w:lang w:eastAsia="zh-CN"/>
              </w:rPr>
              <w:t>：</w:t>
            </w:r>
            <w:r>
              <w:rPr>
                <w:rFonts w:hint="eastAsia" w:ascii="宋体" w:hAnsi="宋体" w:eastAsia="宋体" w:cs="宋体"/>
                <w:szCs w:val="21"/>
              </w:rPr>
              <w:t>具备FFF非均整模式</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3.6</w:t>
            </w:r>
            <w:r>
              <w:rPr>
                <w:rFonts w:hint="eastAsia" w:ascii="宋体" w:hAnsi="宋体" w:eastAsia="宋体" w:cs="宋体"/>
                <w:szCs w:val="21"/>
              </w:rPr>
              <w:tab/>
            </w:r>
            <w:r>
              <w:rPr>
                <w:rFonts w:hint="eastAsia" w:ascii="宋体" w:hAnsi="宋体" w:eastAsia="宋体" w:cs="宋体"/>
                <w:szCs w:val="21"/>
              </w:rPr>
              <w:t>6MV X射线最大非均整（FFF）剂量率</w:t>
            </w:r>
            <w:r>
              <w:rPr>
                <w:rFonts w:hint="eastAsia" w:ascii="宋体" w:hAnsi="宋体" w:cs="宋体"/>
                <w:szCs w:val="21"/>
                <w:lang w:eastAsia="zh-CN"/>
              </w:rPr>
              <w:t>：</w:t>
            </w:r>
            <w:r>
              <w:rPr>
                <w:rFonts w:hint="eastAsia" w:ascii="宋体" w:hAnsi="宋体" w:eastAsia="宋体" w:cs="宋体"/>
                <w:szCs w:val="21"/>
              </w:rPr>
              <w:t>≥800MU/min</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3.7</w:t>
            </w:r>
            <w:r>
              <w:rPr>
                <w:rFonts w:hint="eastAsia" w:ascii="宋体" w:hAnsi="宋体" w:eastAsia="宋体" w:cs="宋体"/>
                <w:szCs w:val="21"/>
              </w:rPr>
              <w:tab/>
            </w:r>
            <w:r>
              <w:rPr>
                <w:rFonts w:hint="eastAsia" w:ascii="宋体" w:hAnsi="宋体" w:eastAsia="宋体" w:cs="宋体"/>
                <w:szCs w:val="21"/>
              </w:rPr>
              <w:t>X射线对称性</w:t>
            </w:r>
            <w:r>
              <w:rPr>
                <w:rFonts w:hint="eastAsia" w:ascii="宋体" w:hAnsi="宋体" w:eastAsia="宋体" w:cs="宋体"/>
                <w:szCs w:val="21"/>
              </w:rPr>
              <w:tab/>
            </w:r>
            <w:r>
              <w:rPr>
                <w:rFonts w:hint="eastAsia" w:ascii="宋体" w:hAnsi="宋体" w:cs="宋体"/>
                <w:szCs w:val="21"/>
                <w:lang w:eastAsia="zh-CN"/>
              </w:rPr>
              <w:t>：</w:t>
            </w:r>
            <w:r>
              <w:rPr>
                <w:rFonts w:hint="eastAsia" w:ascii="宋体" w:hAnsi="宋体" w:eastAsia="宋体" w:cs="宋体"/>
                <w:szCs w:val="21"/>
              </w:rPr>
              <w:t>≤102%</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3.8剂量重复性</w:t>
            </w:r>
            <w:r>
              <w:rPr>
                <w:rFonts w:hint="eastAsia" w:ascii="宋体" w:hAnsi="宋体" w:cs="宋体"/>
                <w:szCs w:val="21"/>
                <w:lang w:eastAsia="zh-CN"/>
              </w:rPr>
              <w:t>：</w:t>
            </w:r>
            <w:r>
              <w:rPr>
                <w:rFonts w:hint="eastAsia" w:ascii="宋体" w:hAnsi="宋体" w:eastAsia="宋体" w:cs="宋体"/>
                <w:szCs w:val="21"/>
              </w:rPr>
              <w:t>≤1%</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3.9剂量线性度</w:t>
            </w:r>
            <w:r>
              <w:rPr>
                <w:rFonts w:hint="eastAsia" w:ascii="宋体" w:hAnsi="宋体" w:cs="宋体"/>
                <w:szCs w:val="21"/>
                <w:lang w:eastAsia="zh-CN"/>
              </w:rPr>
              <w:t>：</w:t>
            </w:r>
            <w:r>
              <w:rPr>
                <w:rFonts w:hint="eastAsia" w:ascii="宋体" w:hAnsi="宋体" w:eastAsia="宋体" w:cs="宋体"/>
                <w:szCs w:val="21"/>
              </w:rPr>
              <w:t>≤±1%</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3.10最大射野尺寸</w:t>
            </w:r>
            <w:r>
              <w:rPr>
                <w:rFonts w:hint="eastAsia" w:ascii="宋体" w:hAnsi="宋体" w:cs="宋体"/>
                <w:szCs w:val="21"/>
                <w:lang w:eastAsia="zh-CN"/>
              </w:rPr>
              <w:t>：</w:t>
            </w:r>
            <w:r>
              <w:rPr>
                <w:rFonts w:hint="eastAsia" w:ascii="宋体" w:hAnsi="宋体" w:eastAsia="宋体" w:cs="宋体"/>
                <w:szCs w:val="21"/>
              </w:rPr>
              <w:t>≥28cm×28cm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3.11最小射野尺寸</w:t>
            </w:r>
            <w:r>
              <w:rPr>
                <w:rFonts w:hint="eastAsia" w:ascii="宋体" w:hAnsi="宋体" w:cs="宋体"/>
                <w:szCs w:val="21"/>
                <w:lang w:eastAsia="zh-CN"/>
              </w:rPr>
              <w:t>：</w:t>
            </w:r>
            <w:r>
              <w:rPr>
                <w:rFonts w:hint="eastAsia" w:ascii="宋体" w:hAnsi="宋体" w:eastAsia="宋体" w:cs="宋体"/>
                <w:szCs w:val="21"/>
              </w:rPr>
              <w:t>≤0.5cm×0.5cm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▲3.12系统自带屏蔽系统，屏蔽主射线</w:t>
            </w:r>
            <w:r>
              <w:rPr>
                <w:rFonts w:hint="eastAsia" w:ascii="宋体" w:hAnsi="宋体" w:eastAsia="宋体" w:cs="宋体"/>
                <w:szCs w:val="21"/>
              </w:rPr>
              <w:tab/>
            </w:r>
            <w:r>
              <w:rPr>
                <w:rFonts w:hint="eastAsia" w:ascii="宋体" w:hAnsi="宋体" w:eastAsia="宋体" w:cs="宋体"/>
                <w:szCs w:val="21"/>
              </w:rPr>
              <w:t>透射率≤0.2%，厚度≥17cm</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4剂量监测系统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4.1电离室结构</w:t>
            </w:r>
            <w:r>
              <w:rPr>
                <w:rFonts w:hint="eastAsia" w:ascii="宋体" w:hAnsi="宋体" w:cs="宋体"/>
                <w:szCs w:val="21"/>
                <w:lang w:eastAsia="zh-CN"/>
              </w:rPr>
              <w:t>：</w:t>
            </w:r>
            <w:r>
              <w:rPr>
                <w:rFonts w:hint="eastAsia" w:ascii="宋体" w:hAnsi="宋体" w:eastAsia="宋体" w:cs="宋体"/>
                <w:szCs w:val="21"/>
              </w:rPr>
              <w:t>封闭式电离室</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4.2电离室通道数设计</w:t>
            </w:r>
            <w:r>
              <w:rPr>
                <w:rFonts w:hint="eastAsia" w:ascii="宋体" w:hAnsi="宋体" w:cs="宋体"/>
                <w:szCs w:val="21"/>
                <w:lang w:eastAsia="zh-CN"/>
              </w:rPr>
              <w:t>：</w:t>
            </w:r>
            <w:r>
              <w:rPr>
                <w:rFonts w:hint="eastAsia" w:ascii="宋体" w:hAnsi="宋体" w:eastAsia="宋体" w:cs="宋体"/>
                <w:szCs w:val="21"/>
              </w:rPr>
              <w:t>双通道电离室</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4.3电离室自动校正</w:t>
            </w:r>
            <w:r>
              <w:rPr>
                <w:rFonts w:hint="eastAsia" w:ascii="宋体" w:hAnsi="宋体" w:cs="宋体"/>
                <w:szCs w:val="21"/>
                <w:lang w:eastAsia="zh-CN"/>
              </w:rPr>
              <w:t>：</w:t>
            </w:r>
            <w:r>
              <w:rPr>
                <w:rFonts w:hint="eastAsia" w:ascii="宋体" w:hAnsi="宋体" w:eastAsia="宋体" w:cs="宋体"/>
                <w:szCs w:val="21"/>
              </w:rPr>
              <w:t>电离室具备温度气压自动校正功能</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4.4剂量安全连锁系统</w:t>
            </w:r>
            <w:r>
              <w:rPr>
                <w:rFonts w:hint="eastAsia" w:ascii="宋体" w:hAnsi="宋体" w:cs="宋体"/>
                <w:szCs w:val="21"/>
                <w:lang w:eastAsia="zh-CN"/>
              </w:rPr>
              <w:t>：</w:t>
            </w:r>
            <w:r>
              <w:rPr>
                <w:rFonts w:hint="eastAsia" w:ascii="宋体" w:hAnsi="宋体" w:eastAsia="宋体" w:cs="宋体"/>
                <w:szCs w:val="21"/>
              </w:rPr>
              <w:t>具有安全联锁自动装置</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 xml:space="preserve"> </w:t>
            </w:r>
            <w:r>
              <w:rPr>
                <w:rFonts w:hint="eastAsia" w:ascii="宋体" w:hAnsi="宋体" w:eastAsia="宋体" w:cs="宋体"/>
                <w:szCs w:val="21"/>
              </w:rPr>
              <w:t>准直器系统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5.1准直器旋转精度</w:t>
            </w:r>
            <w:r>
              <w:rPr>
                <w:rFonts w:hint="eastAsia" w:ascii="宋体" w:hAnsi="宋体" w:cs="宋体"/>
                <w:szCs w:val="21"/>
                <w:lang w:eastAsia="zh-CN"/>
              </w:rPr>
              <w:t>：</w:t>
            </w:r>
            <w:r>
              <w:rPr>
                <w:rFonts w:hint="eastAsia" w:ascii="宋体" w:hAnsi="宋体" w:eastAsia="宋体" w:cs="宋体"/>
                <w:szCs w:val="21"/>
              </w:rPr>
              <w:t>≤0.5°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5.2准直器旋转重复性</w:t>
            </w:r>
            <w:r>
              <w:rPr>
                <w:rFonts w:hint="eastAsia" w:ascii="宋体" w:hAnsi="宋体" w:eastAsia="宋体" w:cs="宋体"/>
                <w:szCs w:val="21"/>
              </w:rPr>
              <w:tab/>
            </w:r>
            <w:r>
              <w:rPr>
                <w:rFonts w:hint="eastAsia" w:ascii="宋体" w:hAnsi="宋体" w:cs="宋体"/>
                <w:szCs w:val="21"/>
                <w:lang w:eastAsia="zh-CN"/>
              </w:rPr>
              <w:t>：</w:t>
            </w:r>
            <w:r>
              <w:rPr>
                <w:rFonts w:hint="eastAsia" w:ascii="宋体" w:hAnsi="宋体" w:eastAsia="宋体" w:cs="宋体"/>
                <w:szCs w:val="21"/>
              </w:rPr>
              <w:t>≤0.3°</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5.3准直器最大旋转速度</w:t>
            </w:r>
            <w:r>
              <w:rPr>
                <w:rFonts w:hint="eastAsia" w:ascii="宋体" w:hAnsi="宋体" w:cs="宋体"/>
                <w:szCs w:val="21"/>
                <w:lang w:eastAsia="zh-CN"/>
              </w:rPr>
              <w:t>：</w:t>
            </w:r>
            <w:r>
              <w:rPr>
                <w:rFonts w:hint="eastAsia" w:ascii="宋体" w:hAnsi="宋体" w:eastAsia="宋体" w:cs="宋体"/>
                <w:szCs w:val="21"/>
              </w:rPr>
              <w:t>≥2RPM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5.4叶片最大移动速度</w:t>
            </w:r>
            <w:r>
              <w:rPr>
                <w:rFonts w:hint="eastAsia" w:ascii="宋体" w:hAnsi="宋体" w:cs="宋体"/>
                <w:szCs w:val="21"/>
                <w:lang w:eastAsia="zh-CN"/>
              </w:rPr>
              <w:t>：</w:t>
            </w:r>
            <w:r>
              <w:rPr>
                <w:rFonts w:hint="eastAsia" w:ascii="宋体" w:hAnsi="宋体" w:eastAsia="宋体" w:cs="宋体"/>
                <w:szCs w:val="21"/>
              </w:rPr>
              <w:t>≥5cm/s</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5.5叶片在等中心平面的最小投影宽度</w:t>
            </w:r>
            <w:r>
              <w:rPr>
                <w:rFonts w:hint="eastAsia" w:ascii="宋体" w:hAnsi="宋体" w:cs="宋体"/>
                <w:szCs w:val="21"/>
                <w:lang w:eastAsia="zh-CN"/>
              </w:rPr>
              <w:t>：</w:t>
            </w:r>
            <w:r>
              <w:rPr>
                <w:rFonts w:hint="eastAsia" w:ascii="宋体" w:hAnsi="宋体" w:eastAsia="宋体" w:cs="宋体"/>
                <w:szCs w:val="21"/>
              </w:rPr>
              <w:t>≤5mm±0.2mm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5.6叶片数量</w:t>
            </w:r>
            <w:r>
              <w:rPr>
                <w:rFonts w:hint="eastAsia" w:ascii="宋体" w:hAnsi="宋体" w:cs="宋体"/>
                <w:szCs w:val="21"/>
                <w:lang w:eastAsia="zh-CN"/>
              </w:rPr>
              <w:t>：</w:t>
            </w:r>
            <w:r>
              <w:rPr>
                <w:rFonts w:hint="eastAsia" w:ascii="宋体" w:hAnsi="宋体" w:eastAsia="宋体" w:cs="宋体"/>
                <w:szCs w:val="21"/>
              </w:rPr>
              <w:t>≥114片</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5.7叶片过中心线最大距离</w:t>
            </w:r>
            <w:r>
              <w:rPr>
                <w:rFonts w:hint="eastAsia" w:ascii="宋体" w:hAnsi="宋体" w:cs="宋体"/>
                <w:szCs w:val="21"/>
                <w:lang w:eastAsia="zh-CN"/>
              </w:rPr>
              <w:t>：</w:t>
            </w:r>
            <w:r>
              <w:rPr>
                <w:rFonts w:hint="eastAsia" w:ascii="宋体" w:hAnsi="宋体" w:eastAsia="宋体" w:cs="宋体"/>
                <w:szCs w:val="21"/>
              </w:rPr>
              <w:t>≥14cm，增加动态治疗射野范围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5.8叶片到位精度</w:t>
            </w:r>
            <w:r>
              <w:rPr>
                <w:rFonts w:hint="eastAsia" w:ascii="宋体" w:hAnsi="宋体" w:cs="宋体"/>
                <w:szCs w:val="21"/>
                <w:lang w:eastAsia="zh-CN"/>
              </w:rPr>
              <w:t>：</w:t>
            </w:r>
            <w:r>
              <w:rPr>
                <w:rFonts w:hint="eastAsia" w:ascii="宋体" w:hAnsi="宋体" w:eastAsia="宋体" w:cs="宋体"/>
                <w:szCs w:val="21"/>
              </w:rPr>
              <w:t>≤±1.0mm</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5.9准直器系统平均漏射率：≤0.05%</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 xml:space="preserve"> </w:t>
            </w:r>
            <w:r>
              <w:rPr>
                <w:rFonts w:hint="eastAsia" w:ascii="宋体" w:hAnsi="宋体" w:eastAsia="宋体" w:cs="宋体"/>
                <w:szCs w:val="21"/>
              </w:rPr>
              <w:t>治疗床系统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6.1治疗床</w:t>
            </w:r>
            <w:r>
              <w:rPr>
                <w:rFonts w:hint="eastAsia" w:ascii="宋体" w:hAnsi="宋体" w:cs="宋体"/>
                <w:szCs w:val="21"/>
                <w:lang w:eastAsia="zh-CN"/>
              </w:rPr>
              <w:t>：</w:t>
            </w:r>
            <w:r>
              <w:rPr>
                <w:rFonts w:hint="eastAsia" w:ascii="宋体" w:hAnsi="宋体" w:eastAsia="宋体" w:cs="宋体"/>
                <w:szCs w:val="21"/>
              </w:rPr>
              <w:t>全碳纤维中空床板，并可在控制室遥控</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6.2运动维度</w:t>
            </w:r>
            <w:r>
              <w:rPr>
                <w:rFonts w:hint="eastAsia" w:ascii="宋体" w:hAnsi="宋体" w:cs="宋体"/>
                <w:szCs w:val="21"/>
                <w:lang w:eastAsia="zh-CN"/>
              </w:rPr>
              <w:t>：</w:t>
            </w:r>
            <w:r>
              <w:rPr>
                <w:rFonts w:hint="eastAsia" w:ascii="宋体" w:hAnsi="宋体" w:eastAsia="宋体" w:cs="宋体"/>
                <w:szCs w:val="21"/>
              </w:rPr>
              <w:t>≥3维度调整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6.3治疗床负载能力</w:t>
            </w:r>
            <w:r>
              <w:rPr>
                <w:rFonts w:hint="eastAsia" w:ascii="宋体" w:hAnsi="宋体" w:cs="宋体"/>
                <w:szCs w:val="21"/>
                <w:lang w:eastAsia="zh-CN"/>
              </w:rPr>
              <w:t>：</w:t>
            </w:r>
            <w:r>
              <w:rPr>
                <w:rFonts w:hint="eastAsia" w:ascii="宋体" w:hAnsi="宋体" w:eastAsia="宋体" w:cs="宋体"/>
                <w:szCs w:val="21"/>
              </w:rPr>
              <w:t>≥220kg</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★6.4垂直移动范围</w:t>
            </w:r>
            <w:r>
              <w:rPr>
                <w:rFonts w:hint="eastAsia" w:ascii="宋体" w:hAnsi="宋体" w:cs="宋体"/>
                <w:szCs w:val="21"/>
                <w:lang w:eastAsia="zh-CN"/>
              </w:rPr>
              <w:t>：</w:t>
            </w:r>
            <w:r>
              <w:rPr>
                <w:rFonts w:hint="eastAsia" w:ascii="宋体" w:hAnsi="宋体" w:eastAsia="宋体" w:cs="宋体"/>
                <w:szCs w:val="21"/>
              </w:rPr>
              <w:t>≥47cm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★6.5左右移动范围</w:t>
            </w:r>
            <w:r>
              <w:rPr>
                <w:rFonts w:hint="eastAsia" w:ascii="宋体" w:hAnsi="宋体" w:cs="宋体"/>
                <w:szCs w:val="21"/>
                <w:lang w:eastAsia="zh-CN"/>
              </w:rPr>
              <w:t>：</w:t>
            </w:r>
            <w:r>
              <w:rPr>
                <w:rFonts w:hint="eastAsia" w:ascii="宋体" w:hAnsi="宋体" w:eastAsia="宋体" w:cs="宋体"/>
                <w:szCs w:val="21"/>
              </w:rPr>
              <w:t>≥±20.5cm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6.6前后移动范围</w:t>
            </w:r>
            <w:r>
              <w:rPr>
                <w:rFonts w:hint="eastAsia" w:ascii="宋体" w:hAnsi="宋体" w:cs="宋体"/>
                <w:szCs w:val="21"/>
                <w:lang w:eastAsia="zh-CN"/>
              </w:rPr>
              <w:t>：</w:t>
            </w:r>
            <w:r>
              <w:rPr>
                <w:rFonts w:hint="eastAsia" w:ascii="宋体" w:hAnsi="宋体" w:eastAsia="宋体" w:cs="宋体"/>
                <w:szCs w:val="21"/>
              </w:rPr>
              <w:t>≥150cm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6.7治疗床运动分辨率</w:t>
            </w:r>
            <w:r>
              <w:rPr>
                <w:rFonts w:hint="eastAsia" w:ascii="宋体" w:hAnsi="宋体" w:cs="宋体"/>
                <w:szCs w:val="21"/>
                <w:lang w:eastAsia="zh-CN"/>
              </w:rPr>
              <w:t>：</w:t>
            </w:r>
            <w:r>
              <w:rPr>
                <w:rFonts w:hint="eastAsia" w:ascii="宋体" w:hAnsi="宋体" w:eastAsia="宋体" w:cs="宋体"/>
                <w:szCs w:val="21"/>
              </w:rPr>
              <w:t>≤0.1mm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6.8治疗床运动到位精度</w:t>
            </w:r>
            <w:r>
              <w:rPr>
                <w:rFonts w:hint="eastAsia" w:ascii="宋体" w:hAnsi="宋体" w:cs="宋体"/>
                <w:szCs w:val="21"/>
                <w:lang w:eastAsia="zh-CN"/>
              </w:rPr>
              <w:t>：</w:t>
            </w:r>
            <w:r>
              <w:rPr>
                <w:rFonts w:hint="eastAsia" w:ascii="宋体" w:hAnsi="宋体" w:eastAsia="宋体" w:cs="宋体"/>
                <w:szCs w:val="21"/>
              </w:rPr>
              <w:t>≤0.5mm</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7</w:t>
            </w:r>
            <w:r>
              <w:rPr>
                <w:rFonts w:hint="eastAsia" w:ascii="宋体" w:hAnsi="宋体" w:cs="宋体"/>
                <w:szCs w:val="21"/>
                <w:lang w:val="en-US" w:eastAsia="zh-CN"/>
              </w:rPr>
              <w:t xml:space="preserve"> </w:t>
            </w:r>
            <w:r>
              <w:rPr>
                <w:rFonts w:hint="eastAsia" w:ascii="宋体" w:hAnsi="宋体" w:eastAsia="宋体" w:cs="宋体"/>
                <w:szCs w:val="21"/>
              </w:rPr>
              <w:t>机载图像引导系统</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7.1机载CT影像引导系统或KV级机载CBCT影像引导系统</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7.2</w:t>
            </w:r>
            <w:r>
              <w:rPr>
                <w:rFonts w:hint="eastAsia" w:ascii="宋体" w:hAnsi="宋体" w:eastAsia="宋体" w:cs="宋体"/>
                <w:szCs w:val="21"/>
              </w:rPr>
              <w:tab/>
            </w:r>
            <w:r>
              <w:rPr>
                <w:rFonts w:hint="eastAsia" w:ascii="宋体" w:hAnsi="宋体" w:eastAsia="宋体" w:cs="宋体"/>
                <w:szCs w:val="21"/>
              </w:rPr>
              <w:t>2D/3D/4D图像浏览和图像操作</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7.3标记和编辑摆位点</w:t>
            </w:r>
            <w:r>
              <w:rPr>
                <w:rFonts w:hint="eastAsia" w:ascii="宋体" w:hAnsi="宋体" w:eastAsia="宋体" w:cs="宋体"/>
                <w:szCs w:val="21"/>
              </w:rPr>
              <w:tab/>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7.4最大图像重建矩阵</w:t>
            </w:r>
            <w:r>
              <w:rPr>
                <w:rFonts w:hint="eastAsia" w:ascii="宋体" w:hAnsi="宋体" w:cs="宋体"/>
                <w:szCs w:val="21"/>
                <w:lang w:eastAsia="zh-CN"/>
              </w:rPr>
              <w:t>：</w:t>
            </w:r>
            <w:r>
              <w:rPr>
                <w:rFonts w:hint="eastAsia" w:ascii="宋体" w:hAnsi="宋体" w:eastAsia="宋体" w:cs="宋体"/>
                <w:szCs w:val="21"/>
              </w:rPr>
              <w:t>≥1024×1024</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★7.5影像引导功能</w:t>
            </w:r>
            <w:r>
              <w:rPr>
                <w:rFonts w:hint="eastAsia" w:ascii="宋体" w:hAnsi="宋体" w:cs="宋体"/>
                <w:szCs w:val="21"/>
                <w:lang w:eastAsia="zh-CN"/>
              </w:rPr>
              <w:t>：</w:t>
            </w:r>
            <w:r>
              <w:rPr>
                <w:rFonts w:hint="eastAsia" w:ascii="宋体" w:hAnsi="宋体" w:eastAsia="宋体" w:cs="宋体"/>
                <w:szCs w:val="21"/>
              </w:rPr>
              <w:t>提供4D CT或4D CBCT影像引导功能或提供迭代CBCT</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7.6最大X射线球管电压</w:t>
            </w:r>
            <w:r>
              <w:rPr>
                <w:rFonts w:hint="eastAsia" w:ascii="宋体" w:hAnsi="宋体" w:cs="宋体"/>
                <w:szCs w:val="21"/>
                <w:lang w:eastAsia="zh-CN"/>
              </w:rPr>
              <w:t>：</w:t>
            </w:r>
            <w:r>
              <w:rPr>
                <w:rFonts w:hint="eastAsia" w:ascii="宋体" w:hAnsi="宋体" w:eastAsia="宋体" w:cs="宋体"/>
                <w:szCs w:val="21"/>
              </w:rPr>
              <w:t>≥140KV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7.7最小X射线球管电压</w:t>
            </w:r>
            <w:r>
              <w:rPr>
                <w:rFonts w:hint="eastAsia" w:ascii="宋体" w:hAnsi="宋体" w:cs="宋体"/>
                <w:szCs w:val="21"/>
                <w:lang w:eastAsia="zh-CN"/>
              </w:rPr>
              <w:t>：</w:t>
            </w:r>
            <w:r>
              <w:rPr>
                <w:rFonts w:hint="eastAsia" w:ascii="宋体" w:hAnsi="宋体" w:eastAsia="宋体" w:cs="宋体"/>
                <w:szCs w:val="21"/>
              </w:rPr>
              <w:t>≤80KV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▲7.8最大扫描视野</w:t>
            </w:r>
            <w:r>
              <w:rPr>
                <w:rFonts w:hint="eastAsia" w:ascii="宋体" w:hAnsi="宋体" w:cs="宋体"/>
                <w:szCs w:val="21"/>
                <w:lang w:eastAsia="zh-CN"/>
              </w:rPr>
              <w:t>：</w:t>
            </w:r>
            <w:r>
              <w:rPr>
                <w:rFonts w:hint="eastAsia" w:ascii="宋体" w:hAnsi="宋体" w:eastAsia="宋体" w:cs="宋体"/>
                <w:szCs w:val="21"/>
              </w:rPr>
              <w:t>≥45cm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7.9</w:t>
            </w:r>
            <w:r>
              <w:rPr>
                <w:rFonts w:hint="eastAsia" w:ascii="宋体" w:hAnsi="宋体" w:eastAsia="宋体" w:cs="宋体"/>
                <w:szCs w:val="21"/>
              </w:rPr>
              <w:tab/>
            </w:r>
            <w:r>
              <w:rPr>
                <w:rFonts w:hint="eastAsia" w:ascii="宋体" w:hAnsi="宋体" w:eastAsia="宋体" w:cs="宋体"/>
                <w:szCs w:val="21"/>
              </w:rPr>
              <w:t>IGRT 精度</w:t>
            </w:r>
            <w:r>
              <w:rPr>
                <w:rFonts w:hint="eastAsia" w:ascii="宋体" w:hAnsi="宋体" w:cs="宋体"/>
                <w:szCs w:val="21"/>
                <w:lang w:eastAsia="zh-CN"/>
              </w:rPr>
              <w:t>：</w:t>
            </w:r>
            <w:r>
              <w:rPr>
                <w:rFonts w:hint="eastAsia" w:ascii="宋体" w:hAnsi="宋体" w:eastAsia="宋体" w:cs="宋体"/>
                <w:szCs w:val="21"/>
              </w:rPr>
              <w:t>≤1mm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7.10探测器空间分辨率</w:t>
            </w:r>
            <w:r>
              <w:rPr>
                <w:rFonts w:hint="eastAsia" w:ascii="宋体" w:hAnsi="宋体" w:cs="宋体"/>
                <w:szCs w:val="21"/>
                <w:lang w:eastAsia="zh-CN"/>
              </w:rPr>
              <w:t>：</w:t>
            </w:r>
            <w:r>
              <w:rPr>
                <w:rFonts w:hint="eastAsia" w:ascii="宋体" w:hAnsi="宋体" w:eastAsia="宋体" w:cs="宋体"/>
                <w:szCs w:val="21"/>
              </w:rPr>
              <w:t>≥7LP/CM@0MTF</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7.11</w:t>
            </w:r>
            <w:r>
              <w:rPr>
                <w:rFonts w:hint="eastAsia" w:ascii="宋体" w:hAnsi="宋体" w:cs="宋体"/>
                <w:szCs w:val="21"/>
                <w:lang w:val="en-US" w:eastAsia="zh-CN"/>
              </w:rPr>
              <w:t xml:space="preserve">  </w:t>
            </w:r>
            <w:r>
              <w:rPr>
                <w:rFonts w:hint="eastAsia" w:ascii="宋体" w:hAnsi="宋体" w:eastAsia="宋体" w:cs="宋体"/>
                <w:szCs w:val="21"/>
              </w:rPr>
              <w:t>KV级影像系统扫描孔径</w:t>
            </w:r>
            <w:r>
              <w:rPr>
                <w:rFonts w:hint="eastAsia" w:ascii="宋体" w:hAnsi="宋体" w:cs="宋体"/>
                <w:szCs w:val="21"/>
                <w:lang w:eastAsia="zh-CN"/>
              </w:rPr>
              <w:t>：</w:t>
            </w:r>
            <w:r>
              <w:rPr>
                <w:rFonts w:hint="eastAsia" w:ascii="宋体" w:hAnsi="宋体" w:eastAsia="宋体" w:cs="宋体"/>
                <w:szCs w:val="21"/>
              </w:rPr>
              <w:t>≥90cm</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8</w:t>
            </w:r>
            <w:r>
              <w:rPr>
                <w:rFonts w:hint="eastAsia" w:ascii="宋体" w:hAnsi="宋体" w:cs="宋体"/>
                <w:szCs w:val="21"/>
                <w:lang w:val="en-US" w:eastAsia="zh-CN"/>
              </w:rPr>
              <w:t xml:space="preserve"> </w:t>
            </w:r>
            <w:r>
              <w:rPr>
                <w:rFonts w:hint="eastAsia" w:ascii="宋体" w:hAnsi="宋体" w:eastAsia="宋体" w:cs="宋体"/>
                <w:szCs w:val="21"/>
              </w:rPr>
              <w:t>EPID成像系统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8.1有效感应面积</w:t>
            </w:r>
            <w:r>
              <w:rPr>
                <w:rFonts w:hint="eastAsia" w:ascii="宋体" w:hAnsi="宋体" w:cs="宋体"/>
                <w:szCs w:val="21"/>
                <w:lang w:eastAsia="zh-CN"/>
              </w:rPr>
              <w:t>：</w:t>
            </w:r>
            <w:r>
              <w:rPr>
                <w:rFonts w:hint="eastAsia" w:ascii="宋体" w:hAnsi="宋体" w:eastAsia="宋体" w:cs="宋体"/>
                <w:szCs w:val="21"/>
              </w:rPr>
              <w:t>≥43cm×43cm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8.2像素灰度分辨率</w:t>
            </w:r>
            <w:r>
              <w:rPr>
                <w:rFonts w:hint="eastAsia" w:ascii="宋体" w:hAnsi="宋体" w:cs="宋体"/>
                <w:szCs w:val="21"/>
                <w:lang w:eastAsia="zh-CN"/>
              </w:rPr>
              <w:t>：</w:t>
            </w:r>
            <w:r>
              <w:rPr>
                <w:rFonts w:hint="eastAsia" w:ascii="宋体" w:hAnsi="宋体" w:eastAsia="宋体" w:cs="宋体"/>
                <w:szCs w:val="21"/>
              </w:rPr>
              <w:t>≥16bit/pixel</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▲8.3图像采集速度</w:t>
            </w:r>
            <w:r>
              <w:rPr>
                <w:rFonts w:hint="eastAsia" w:ascii="宋体" w:hAnsi="宋体" w:cs="宋体"/>
                <w:szCs w:val="21"/>
                <w:lang w:eastAsia="zh-CN"/>
              </w:rPr>
              <w:t>：</w:t>
            </w:r>
            <w:r>
              <w:rPr>
                <w:rFonts w:hint="eastAsia" w:ascii="宋体" w:hAnsi="宋体" w:eastAsia="宋体" w:cs="宋体"/>
                <w:szCs w:val="21"/>
              </w:rPr>
              <w:t>≥15fps</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8.4</w:t>
            </w:r>
            <w:r>
              <w:rPr>
                <w:rFonts w:hint="eastAsia" w:ascii="宋体" w:hAnsi="宋体" w:eastAsia="宋体" w:cs="宋体"/>
                <w:szCs w:val="21"/>
              </w:rPr>
              <w:tab/>
            </w:r>
            <w:r>
              <w:rPr>
                <w:rFonts w:hint="eastAsia" w:ascii="宋体" w:hAnsi="宋体" w:eastAsia="宋体" w:cs="宋体"/>
                <w:szCs w:val="21"/>
              </w:rPr>
              <w:t>治疗野成像</w:t>
            </w:r>
            <w:r>
              <w:rPr>
                <w:rFonts w:hint="eastAsia" w:ascii="宋体" w:hAnsi="宋体" w:cs="宋体"/>
                <w:szCs w:val="21"/>
                <w:lang w:eastAsia="zh-CN"/>
              </w:rPr>
              <w:t>：</w:t>
            </w:r>
            <w:r>
              <w:rPr>
                <w:rFonts w:hint="eastAsia" w:ascii="宋体" w:hAnsi="宋体" w:eastAsia="宋体" w:cs="宋体"/>
                <w:szCs w:val="21"/>
              </w:rPr>
              <w:t>支持6MV FFF治疗野二维单野成像</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9</w:t>
            </w:r>
            <w:r>
              <w:rPr>
                <w:rFonts w:hint="eastAsia" w:ascii="宋体" w:hAnsi="宋体" w:cs="宋体"/>
                <w:szCs w:val="21"/>
                <w:lang w:val="en-US" w:eastAsia="zh-CN"/>
              </w:rPr>
              <w:t xml:space="preserve"> </w:t>
            </w:r>
            <w:r>
              <w:rPr>
                <w:rFonts w:hint="eastAsia" w:ascii="宋体" w:hAnsi="宋体" w:eastAsia="宋体" w:cs="宋体"/>
                <w:szCs w:val="21"/>
              </w:rPr>
              <w:t>EPID质控系统</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9.1基于EPID的加速器质控功能</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9.2支持一键式EPID设备质控自动执行</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9.3支持对MLC进行检测（提供工作照片证明）</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9.4支持对准直器系统进行检测（提供工作照片证明）</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9.5支持对治疗床进行检测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9.6支持对机架进行检测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9.7支持对治疗等中心进行检测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9.8支持对束流系统进行检测（提供工作照片证明）</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9.9支持对EPID进行检测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9.10支持生成质控工作报告功能</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10</w:t>
            </w:r>
            <w:r>
              <w:rPr>
                <w:rFonts w:hint="eastAsia" w:ascii="宋体" w:hAnsi="宋体" w:cs="宋体"/>
                <w:szCs w:val="21"/>
                <w:lang w:val="en-US" w:eastAsia="zh-CN"/>
              </w:rPr>
              <w:t xml:space="preserve"> </w:t>
            </w:r>
            <w:r>
              <w:rPr>
                <w:rFonts w:hint="eastAsia" w:ascii="宋体" w:hAnsi="宋体" w:eastAsia="宋体" w:cs="宋体"/>
                <w:szCs w:val="21"/>
              </w:rPr>
              <w:t>治疗模式</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10.1</w:t>
            </w:r>
            <w:r>
              <w:rPr>
                <w:rFonts w:hint="eastAsia" w:ascii="宋体" w:hAnsi="宋体" w:cs="宋体"/>
                <w:szCs w:val="21"/>
                <w:lang w:val="en-US" w:eastAsia="zh-CN"/>
              </w:rPr>
              <w:t xml:space="preserve"> </w:t>
            </w:r>
            <w:r>
              <w:rPr>
                <w:rFonts w:hint="eastAsia" w:ascii="宋体" w:hAnsi="宋体" w:eastAsia="宋体" w:cs="宋体"/>
                <w:szCs w:val="21"/>
              </w:rPr>
              <w:t>dIMRT动态调强放疗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10.2</w:t>
            </w:r>
            <w:r>
              <w:rPr>
                <w:rFonts w:hint="eastAsia" w:ascii="宋体" w:hAnsi="宋体" w:cs="宋体"/>
                <w:szCs w:val="21"/>
                <w:lang w:val="en-US" w:eastAsia="zh-CN"/>
              </w:rPr>
              <w:t xml:space="preserve"> </w:t>
            </w:r>
            <w:r>
              <w:rPr>
                <w:rFonts w:hint="eastAsia" w:ascii="宋体" w:hAnsi="宋体" w:eastAsia="宋体" w:cs="宋体"/>
                <w:szCs w:val="21"/>
              </w:rPr>
              <w:t>sIMRT静态调强放疗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10.3</w:t>
            </w:r>
            <w:r>
              <w:rPr>
                <w:rFonts w:hint="eastAsia" w:ascii="宋体" w:hAnsi="宋体" w:cs="宋体"/>
                <w:szCs w:val="21"/>
                <w:lang w:val="en-US" w:eastAsia="zh-CN"/>
              </w:rPr>
              <w:t xml:space="preserve"> </w:t>
            </w:r>
            <w:r>
              <w:rPr>
                <w:rFonts w:hint="eastAsia" w:ascii="宋体" w:hAnsi="宋体" w:eastAsia="宋体" w:cs="宋体"/>
                <w:szCs w:val="21"/>
              </w:rPr>
              <w:t>3D-CRT三维适形放疗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▲10.4容积旋转调强放疗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10.5立体定向体部放射治疗（SBRT）</w:t>
            </w:r>
            <w:r>
              <w:rPr>
                <w:rFonts w:hint="eastAsia" w:ascii="宋体" w:hAnsi="宋体" w:cs="宋体"/>
                <w:szCs w:val="21"/>
                <w:lang w:eastAsia="zh-CN"/>
              </w:rPr>
              <w:t>：</w:t>
            </w:r>
            <w:r>
              <w:rPr>
                <w:rFonts w:hint="eastAsia" w:ascii="宋体" w:hAnsi="宋体" w:eastAsia="宋体" w:cs="宋体"/>
                <w:szCs w:val="21"/>
              </w:rPr>
              <w:t>提供直线加速器注册证材料</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11</w:t>
            </w:r>
            <w:r>
              <w:rPr>
                <w:rFonts w:hint="eastAsia" w:ascii="宋体" w:hAnsi="宋体" w:cs="宋体"/>
                <w:szCs w:val="21"/>
                <w:lang w:val="en-US" w:eastAsia="zh-CN"/>
              </w:rPr>
              <w:t xml:space="preserve"> </w:t>
            </w:r>
            <w:r>
              <w:rPr>
                <w:rFonts w:hint="eastAsia" w:ascii="宋体" w:hAnsi="宋体" w:eastAsia="宋体" w:cs="宋体"/>
                <w:szCs w:val="21"/>
              </w:rPr>
              <w:t>放射治疗计划系统</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w:t>
            </w:r>
            <w:r>
              <w:rPr>
                <w:rFonts w:hint="eastAsia" w:ascii="宋体" w:hAnsi="宋体" w:cs="宋体"/>
                <w:szCs w:val="21"/>
                <w:lang w:val="en-US" w:eastAsia="zh-CN"/>
              </w:rPr>
              <w:t xml:space="preserve"> </w:t>
            </w:r>
            <w:r>
              <w:rPr>
                <w:rFonts w:hint="eastAsia" w:ascii="宋体" w:hAnsi="宋体" w:eastAsia="宋体" w:cs="宋体"/>
                <w:szCs w:val="21"/>
              </w:rPr>
              <w:t>TPS物理师工作站≥2台，TPS医生工作站≥6台，提供型号为交货时上市的最高硬件配置和最新软件版本,兼容采购人指定的原有放射治疗设备</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11.2支持所有系统统一数据平台</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11.3支持个性化自定义系统界面布局</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11.4支持CT，MRI，PET，CR，RT Image等 DICOM标准图像导入导出</w:t>
            </w:r>
            <w:r>
              <w:rPr>
                <w:rFonts w:hint="eastAsia" w:ascii="宋体" w:hAnsi="宋体" w:cs="宋体"/>
                <w:szCs w:val="21"/>
                <w:lang w:eastAsia="zh-CN"/>
              </w:rPr>
              <w:t>；</w:t>
            </w:r>
            <w:r>
              <w:rPr>
                <w:rFonts w:hint="eastAsia" w:ascii="宋体" w:hAnsi="宋体" w:eastAsia="宋体" w:cs="宋体"/>
                <w:szCs w:val="21"/>
              </w:rPr>
              <w:t>11.5支持从本地路径或其他AE节点导入导出DICOM数据</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11.6</w:t>
            </w:r>
            <w:r>
              <w:rPr>
                <w:rFonts w:hint="eastAsia" w:ascii="宋体" w:hAnsi="宋体" w:cs="宋体"/>
                <w:szCs w:val="21"/>
                <w:lang w:val="en-US" w:eastAsia="zh-CN"/>
              </w:rPr>
              <w:t xml:space="preserve"> </w:t>
            </w:r>
            <w:r>
              <w:rPr>
                <w:rFonts w:hint="eastAsia" w:ascii="宋体" w:hAnsi="宋体" w:eastAsia="宋体" w:cs="宋体"/>
                <w:szCs w:val="21"/>
              </w:rPr>
              <w:t>RT Plan，RT Dose，RT Structure，RT Record格式的数据导入导出</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11.7支持高级勾画工具（点勾画线、智能勾画、推画、画圆、画方、形变拖拽、及删除、编辑工具）</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11.8基于人工智能的多器官自动勾画功能</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11.9支持多模态影像融合（CT-CT、CT-MR、CT-PET)</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11.10支持脚本创建与调用功能</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11.11多种自定义模板</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11.12光子计划制作</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11.13三维卷积剂量计算算法</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11.14蒙特卡洛精度剂量计算算法</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11.15</w:t>
            </w:r>
            <w:r>
              <w:rPr>
                <w:rFonts w:hint="eastAsia" w:ascii="宋体" w:hAnsi="宋体" w:cs="宋体"/>
                <w:szCs w:val="21"/>
                <w:lang w:val="en-US" w:eastAsia="zh-CN"/>
              </w:rPr>
              <w:t xml:space="preserve"> </w:t>
            </w:r>
            <w:r>
              <w:rPr>
                <w:rFonts w:hint="eastAsia" w:ascii="宋体" w:hAnsi="宋体" w:eastAsia="宋体" w:cs="宋体"/>
                <w:szCs w:val="21"/>
              </w:rPr>
              <w:t>GPU加速架构</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11.16全局最大剂量控制</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11.17多靶心计划的剂量计算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11.18添加组织补偿物计算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w:t>
            </w:r>
            <w:r>
              <w:rPr>
                <w:rFonts w:hint="eastAsia" w:ascii="宋体" w:hAnsi="宋体" w:cs="宋体"/>
                <w:szCs w:val="21"/>
                <w:lang w:val="en-US" w:eastAsia="zh-CN"/>
              </w:rPr>
              <w:t xml:space="preserve"> </w:t>
            </w:r>
            <w:r>
              <w:rPr>
                <w:rFonts w:hint="eastAsia" w:ascii="宋体" w:hAnsi="宋体" w:eastAsia="宋体" w:cs="宋体"/>
                <w:szCs w:val="21"/>
              </w:rPr>
              <w:t>放疗专用肿瘤信息管理系统</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12.1支持多种系统的连接，支持加速器、模拟定位设备和计划系统的连接</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12.2一体化数据库和患者管理，患者数据和治疗数据存储在一个数据库中</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12.3支持对患者信息进行管理</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12.4支持患者流程状态概览</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12.5支持患者预约功能</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12.6支持用户权限管理</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12.7支持对治疗计划进行排程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12.8支持治疗信息记录</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12.9支持对质控数据的记录与统计分析</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12.10支持数据批量备份与恢复</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13放疗专用激光灯系统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13.1安装模式</w:t>
            </w:r>
            <w:r>
              <w:rPr>
                <w:rFonts w:hint="eastAsia" w:ascii="宋体" w:hAnsi="宋体" w:cs="宋体"/>
                <w:szCs w:val="21"/>
                <w:lang w:eastAsia="zh-CN"/>
              </w:rPr>
              <w:t>：</w:t>
            </w:r>
            <w:r>
              <w:rPr>
                <w:rFonts w:hint="eastAsia" w:ascii="宋体" w:hAnsi="宋体" w:eastAsia="宋体" w:cs="宋体"/>
                <w:szCs w:val="21"/>
              </w:rPr>
              <w:t>固定式</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▲13.2激光发射器数量</w:t>
            </w:r>
            <w:r>
              <w:rPr>
                <w:rFonts w:hint="eastAsia" w:ascii="宋体" w:hAnsi="宋体" w:cs="宋体"/>
                <w:szCs w:val="21"/>
                <w:lang w:eastAsia="zh-CN"/>
              </w:rPr>
              <w:t>：</w:t>
            </w:r>
            <w:r>
              <w:rPr>
                <w:rFonts w:hint="eastAsia" w:ascii="宋体" w:hAnsi="宋体" w:eastAsia="宋体" w:cs="宋体"/>
                <w:szCs w:val="21"/>
              </w:rPr>
              <w:t>三个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13.3激光类型</w:t>
            </w:r>
            <w:r>
              <w:rPr>
                <w:rFonts w:hint="eastAsia" w:ascii="宋体" w:hAnsi="宋体" w:cs="宋体"/>
                <w:szCs w:val="21"/>
                <w:lang w:eastAsia="zh-CN"/>
              </w:rPr>
              <w:t>：</w:t>
            </w:r>
            <w:r>
              <w:rPr>
                <w:rFonts w:hint="eastAsia" w:ascii="宋体" w:hAnsi="宋体" w:eastAsia="宋体" w:cs="宋体"/>
                <w:szCs w:val="21"/>
              </w:rPr>
              <w:t>激光二极管</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13.4定位精度</w:t>
            </w:r>
            <w:r>
              <w:rPr>
                <w:rFonts w:hint="eastAsia" w:ascii="宋体" w:hAnsi="宋体" w:cs="宋体"/>
                <w:szCs w:val="21"/>
                <w:lang w:eastAsia="zh-CN"/>
              </w:rPr>
              <w:t>：</w:t>
            </w:r>
            <w:r>
              <w:rPr>
                <w:rFonts w:hint="eastAsia" w:ascii="宋体" w:hAnsi="宋体" w:eastAsia="宋体" w:cs="宋体"/>
                <w:szCs w:val="21"/>
              </w:rPr>
              <w:t>±1mm</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14</w:t>
            </w:r>
            <w:r>
              <w:rPr>
                <w:rFonts w:hint="eastAsia" w:ascii="宋体" w:hAnsi="宋体" w:cs="宋体"/>
                <w:szCs w:val="21"/>
                <w:lang w:val="en-US" w:eastAsia="zh-CN"/>
              </w:rPr>
              <w:t xml:space="preserve"> </w:t>
            </w:r>
            <w:r>
              <w:rPr>
                <w:rFonts w:hint="eastAsia" w:ascii="宋体" w:hAnsi="宋体" w:eastAsia="宋体" w:cs="宋体"/>
                <w:szCs w:val="21"/>
              </w:rPr>
              <w:t>三维调强验证系统</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14.1探头类型：应配置适用于辐射剂量测量的半导体探头；探头数量：＞1300；矩阵直径：≥20cm；矩阵长度：≥20cm；分辨率：≤1.0cm；探头几何分布：螺旋栅格；探头有效平面尺寸：≤2.8mm×2.8mm</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14.2电离室高度：＜3mm；探头有效体积：＜0.06cm³；探头灵敏度：≥30nC/Gy；探头灵敏度：≥30nC/Gy；探测器稳定性：0.5%kGy at 6MV；采样频率：≤50ms</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14.3模体形状：应采用圆筒形设计；支持检测采购人现有需使用测量中一个计划的所有射线；各向一致性：360度设置均有探头面切线与射束垂直</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14.4剂量校准：剂量校准时无需拆模体，剂量校准不需要电离室</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14.5电器元件 联接：至少支持RS232和USB串口联接；电源数据线：≥25米；电源：100-240 VAC，50-60 Hz；预热时间：小于5分钟</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14.6适用能量范围：光子：至少支持Co-60 - 25 MV；电子线：至少支持6 MeV–25 MeV</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14.7建成区探测器物理深度（不加固体水）：≥7.5mm</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14.8测量方式：应同时测量入射和出射剂量，以便获取更多数据执行更详尽的分析</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14.9</w:t>
            </w:r>
            <w:r>
              <w:rPr>
                <w:rFonts w:hint="eastAsia" w:ascii="宋体" w:hAnsi="宋体" w:cs="宋体"/>
                <w:szCs w:val="21"/>
                <w:lang w:val="en-US" w:eastAsia="zh-CN"/>
              </w:rPr>
              <w:t xml:space="preserve"> </w:t>
            </w:r>
            <w:r>
              <w:rPr>
                <w:rFonts w:hint="eastAsia" w:ascii="宋体" w:hAnsi="宋体" w:eastAsia="宋体" w:cs="宋体"/>
                <w:szCs w:val="21"/>
              </w:rPr>
              <w:t>TPS接口兼容市场主流TPS，支持可应用DICOM格式导入</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14.10应用程序功能配置支持IMRT，VMAT，SBRT，MRgRT的验证</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14.11数据分析：可进行相对剂量和绝对剂量分析比较，可完成DTA和Gamma计算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14.12</w:t>
            </w:r>
            <w:r>
              <w:rPr>
                <w:rFonts w:hint="eastAsia" w:ascii="宋体" w:hAnsi="宋体" w:cs="宋体"/>
                <w:szCs w:val="21"/>
                <w:lang w:val="en-US" w:eastAsia="zh-CN"/>
              </w:rPr>
              <w:t xml:space="preserve"> </w:t>
            </w:r>
            <w:r>
              <w:rPr>
                <w:rFonts w:hint="eastAsia" w:ascii="宋体" w:hAnsi="宋体" w:eastAsia="宋体" w:cs="宋体"/>
                <w:szCs w:val="21"/>
              </w:rPr>
              <w:t>DVH分析软件：支持三维剂量验证重建分析；数据分析：ROI分析、共面和非共面的剂量分析；工作站：可分析机架角度与时间；微积分剂量与时间；MLC测量到位精度与预测到位精度</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14.13支持自动校准深度、SSD和病人结构；4D分析：测量并关联机架角度、叶端位置、绝对剂量和时间进行分析</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14.14角度测量：设备自动测量机架角度，无需额外增加模体、支架或角度传感器</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14.15配置定制化中心插件：非均匀的中心插件，包含肌肉、骨骼、肺、脂肪、钛合金等不同密度插件</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14.16支持生成和打印报告</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14.17配置清单</w:t>
            </w:r>
            <w:r>
              <w:rPr>
                <w:rFonts w:hint="eastAsia" w:ascii="宋体" w:hAnsi="宋体" w:cs="宋体"/>
                <w:szCs w:val="21"/>
                <w:lang w:eastAsia="zh-CN"/>
              </w:rPr>
              <w:t>：</w:t>
            </w:r>
            <w:r>
              <w:rPr>
                <w:rFonts w:hint="eastAsia" w:ascii="宋体" w:hAnsi="宋体" w:eastAsia="宋体" w:cs="宋体"/>
                <w:szCs w:val="21"/>
              </w:rPr>
              <w:t>主机一台；≥25米电缆线一条；物联专业分析软件系统建设一项；≥6英尺长电源线一条；USB连接线一条；主机原厂说明书一本；非均匀中心插件（含肌肉、骨骼、肺、脂肪、钛合金插件）一套；3DVH（功能参照并相当于）软件一套；物联工作站专用功能系统一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15立体定向放疗质控模体</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15.1支持体部立体定向放射治疗验证，常规放疗剂量验证以及绝对剂量刻度</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15.2支持复杂计划验证，SRS剂量QA插件拥有复杂的几何靶区，可以评估治疗计划系统影像重建一致性</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15.3计划系统影像重建精度：支持已知规则体积三维空间重建，可评估治疗计划系统体积重建准确度</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15.4</w:t>
            </w:r>
            <w:r>
              <w:rPr>
                <w:rFonts w:hint="eastAsia" w:ascii="宋体" w:hAnsi="宋体" w:cs="宋体"/>
                <w:szCs w:val="21"/>
                <w:lang w:val="en-US" w:eastAsia="zh-CN"/>
              </w:rPr>
              <w:t xml:space="preserve">  </w:t>
            </w:r>
            <w:r>
              <w:rPr>
                <w:rFonts w:hint="eastAsia" w:ascii="宋体" w:hAnsi="宋体" w:eastAsia="宋体" w:cs="宋体"/>
                <w:szCs w:val="21"/>
              </w:rPr>
              <w:t>CT电子密度：支持五种不同物理密度，包括水，空气，致密骨，疏松骨和脂肪等效密度，可用于CT密度模型的QA检测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15.5</w:t>
            </w:r>
            <w:r>
              <w:rPr>
                <w:rFonts w:hint="eastAsia" w:ascii="宋体" w:hAnsi="宋体" w:cs="宋体"/>
                <w:szCs w:val="21"/>
                <w:lang w:val="en-US" w:eastAsia="zh-CN"/>
              </w:rPr>
              <w:t xml:space="preserve">  </w:t>
            </w:r>
            <w:r>
              <w:rPr>
                <w:rFonts w:hint="eastAsia" w:ascii="宋体" w:hAnsi="宋体" w:eastAsia="宋体" w:cs="宋体"/>
                <w:szCs w:val="21"/>
              </w:rPr>
              <w:t>TPS剂量计算精度：支持非均匀性模体剂量验证，包含肺部等效密度的插件，验证蒙特卡洛计算精度，误差≤0.5%</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15.6参考标记：内部包含金标点及铅基准标记，分布整个模体提供额外的位置参考和定位精度</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15.7绝对剂量测量小野探头1个，有效体积≤0.01cc</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15.8电缆线1条，TNC接口，长度≥25米</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w:t>
            </w:r>
            <w:r>
              <w:rPr>
                <w:rFonts w:hint="eastAsia" w:ascii="宋体" w:hAnsi="宋体" w:cs="宋体"/>
                <w:szCs w:val="21"/>
                <w:lang w:val="en-US" w:eastAsia="zh-CN"/>
              </w:rPr>
              <w:t xml:space="preserve"> </w:t>
            </w:r>
            <w:r>
              <w:rPr>
                <w:rFonts w:hint="eastAsia" w:ascii="宋体" w:hAnsi="宋体" w:eastAsia="宋体" w:cs="宋体"/>
                <w:szCs w:val="21"/>
              </w:rPr>
              <w:t>二次剂量验证系统</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16.1支持基于TPS的RT Plan、DICOM CT、RT Structure等数据，利用第三方剂量算法，自动计算患者体内的剂量分布，并与TPS中的剂量分布（RT Dose）进行比较，验证TPS剂量算法的可靠性</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16.2支持基于加速器日志文件进行二维通量对比分析，每个射野逐一验证</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16.3临床目标分析：支持系统可自定义临床目标标准，并自动分析各感兴趣区是否满足该临床目标</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16.4三维剂量计算和验证分析</w:t>
            </w:r>
            <w:r>
              <w:rPr>
                <w:rFonts w:hint="eastAsia" w:ascii="宋体" w:hAnsi="宋体" w:cs="宋体"/>
                <w:szCs w:val="21"/>
                <w:lang w:eastAsia="zh-CN"/>
              </w:rPr>
              <w:t>：</w:t>
            </w:r>
            <w:r>
              <w:rPr>
                <w:rFonts w:hint="eastAsia" w:ascii="宋体" w:hAnsi="宋体" w:eastAsia="宋体" w:cs="宋体"/>
                <w:szCs w:val="21"/>
              </w:rPr>
              <w:t>支持三维剂量分布比较、Gamma分析结果、各感兴趣区域DVH比较</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16.5剂量分析工具：支持点剂量分析、线剂量分析、DVH对比、绝对剂量差异分析、DTA分析等</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16.6计划比较工具：支持将TPS中的计划与传输到肿瘤信息系统中的计划进行对比，从而排除数据传输错误</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16.7放疗设备兼容性：支持采购方配置的各型号直线加速器的点剂量以及三维剂量的计算和验证（核磁加速器除外），支持核磁加速器计划的点剂量验证</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16.8计划系统兼容性：支持当前所有主流计划系统：包括Eclipse、Monaco、Pinnacle、RayStation等等</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16.9治疗技术兼容性：支持现有放疗技术，包括3DCRT、IMRT、VMAT、SRS/SBRT等，支持电子线和光子线计划的三维剂量计算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16.10验证结果输出：支持定制化报告内容模板及报告格式；支持以邮件形式发送给相关工作人员，发送频率可控；支持结果保存成PDF；支持用于无纸化办公流程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16.11自动化程度：支持自动导入TPS发送的DICOM数据、自动开始计算任务、自动生成PDF验证分析报告</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16.12加速器建模：支持根据实际采集的加速器数据，进行加速器剂量模型建立，并能手动调整剂量模型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16.13剂量计算算法:支持Monte Carlo算法进行剂量计算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16.14支持采用灵活且可以扩展的计算队列管理计算任务，即可以实现自动化管理，也可以主观干预计算任务的优先级别</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16.15定制化自动工作流:支持自动为不同计划选择不同的临床计划评估模板、自动为不同计划选择不同的等剂量线模板、自动为不同计划选择不同的Gamma评估标准进行验证分析</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w:t>
            </w:r>
            <w:r>
              <w:rPr>
                <w:rFonts w:hint="eastAsia" w:ascii="宋体" w:hAnsi="宋体" w:cs="宋体"/>
                <w:szCs w:val="21"/>
                <w:lang w:val="en-US" w:eastAsia="zh-CN"/>
              </w:rPr>
              <w:t xml:space="preserve"> </w:t>
            </w:r>
            <w:r>
              <w:rPr>
                <w:rFonts w:hint="eastAsia" w:ascii="宋体" w:hAnsi="宋体" w:eastAsia="宋体" w:cs="宋体"/>
                <w:szCs w:val="21"/>
              </w:rPr>
              <w:t>晨检仪</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17.1探头类型：适用于辐射剂量测量的纯电离室探头；探头数量：≥13个；测量电离室体积：≤0.1cm³；能量电离室体积：≤0.2cm³。探头灵敏度：≥30nC/Gy</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17.2照射野大小：可测量(10</w:t>
            </w:r>
            <w:r>
              <w:rPr>
                <w:rFonts w:hint="eastAsia" w:ascii="宋体" w:hAnsi="宋体" w:cs="宋体"/>
                <w:szCs w:val="21"/>
              </w:rPr>
              <w:t>×</w:t>
            </w:r>
            <w:r>
              <w:rPr>
                <w:rFonts w:hint="eastAsia" w:ascii="宋体" w:hAnsi="宋体" w:eastAsia="宋体" w:cs="宋体"/>
                <w:szCs w:val="21"/>
              </w:rPr>
              <w:t>10) cm²、 (20</w:t>
            </w:r>
            <w:r>
              <w:rPr>
                <w:rFonts w:hint="eastAsia" w:ascii="宋体" w:hAnsi="宋体" w:cs="宋体"/>
                <w:szCs w:val="21"/>
              </w:rPr>
              <w:t>×</w:t>
            </w:r>
            <w:r>
              <w:rPr>
                <w:rFonts w:hint="eastAsia" w:ascii="宋体" w:hAnsi="宋体" w:eastAsia="宋体" w:cs="宋体"/>
                <w:szCs w:val="21"/>
              </w:rPr>
              <w:t>20)cm²</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17.3测量功能：可对中心轴剂量、剂量率、均整性、对称性和射线质的稳定性检测</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17.4数据显示：晨检仪主机内置集成液晶显示屏，实时显示测量值</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17.5连接加速器数量：无限制。状态指示灯：必须自带三种指示灯，显示正常，报警灯功能，可实时指示当前数据是否超出容差，电池电量和设备测量状态</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17.6</w:t>
            </w:r>
            <w:r>
              <w:rPr>
                <w:rFonts w:hint="eastAsia" w:ascii="宋体" w:hAnsi="宋体" w:cs="宋体"/>
                <w:szCs w:val="21"/>
                <w:lang w:val="en-US" w:eastAsia="zh-CN"/>
              </w:rPr>
              <w:t xml:space="preserve"> </w:t>
            </w:r>
            <w:r>
              <w:rPr>
                <w:rFonts w:hint="eastAsia" w:ascii="宋体" w:hAnsi="宋体" w:eastAsia="宋体" w:cs="宋体"/>
                <w:szCs w:val="21"/>
              </w:rPr>
              <w:t>FFF补偿模式：带有FFF模式的加速器，可以测common beam参数，可以用于6MV和10MV的加速器,摆位简单快速，可检测FFF射束长期稳定性</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17.7建成板材料：丙烯酸（PMMA）</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17.8电器元件联接：支持有线和无线连接</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17.9适用能量范围：高能光子4MV-25 MV；电子线至少支持4 MeV – 25 MeV</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17.10温度测量：集成式温度传感器测量实时校正。测量范围：至少支持10-40度，气压测量：集成式气压传感器测量实时校正， 测量范围至少支持700-1060hpa</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17.11应用程序功能配置满足常规QA的要求，包括加速器日常QA等</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17.12自动跳转任务列表：无需翻转阵列实现光子线、电子线测量，测量完一组数据后无需进入机房，自动跳转到下一组任务</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17.13数据存储：必须内置电脑软件显示，无需外接电脑，并实时显示单个参数趋势图和测量数据</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17.14内置数据库软件：必须将数据存储在非易失性自带内存中，导出晨检仪测量数据，可视化的数据趋势，观察和分析数据的长期变化趋势，保存或打印数据报告</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17.15访问数据：日常使用可通过电脑随时调用分析功能</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17.16配置清单</w:t>
            </w:r>
            <w:r>
              <w:rPr>
                <w:rFonts w:hint="eastAsia" w:ascii="宋体" w:hAnsi="宋体" w:cs="宋体"/>
                <w:szCs w:val="21"/>
                <w:lang w:eastAsia="zh-CN"/>
              </w:rPr>
              <w:t>：</w:t>
            </w:r>
            <w:r>
              <w:rPr>
                <w:rFonts w:hint="eastAsia" w:ascii="宋体" w:hAnsi="宋体" w:eastAsia="宋体" w:cs="宋体"/>
                <w:szCs w:val="21"/>
              </w:rPr>
              <w:t>晨检仪主机1套；USB连接线1条；充电器1套；可充电电池1套；系统操作分析软件系统1套；FFF模式补偿器1套</w:t>
            </w:r>
            <w:r>
              <w:rPr>
                <w:rFonts w:hint="eastAsia" w:ascii="宋体" w:hAnsi="宋体" w:cs="宋体"/>
                <w:szCs w:val="21"/>
                <w:lang w:eastAsia="zh-CN"/>
              </w:rPr>
              <w:t>。</w:t>
            </w:r>
            <w:r>
              <w:rPr>
                <w:rFonts w:hint="eastAsia" w:ascii="宋体" w:hAnsi="宋体" w:eastAsia="宋体" w:cs="宋体"/>
                <w:szCs w:val="21"/>
              </w:rPr>
              <w:t>18</w:t>
            </w:r>
            <w:r>
              <w:rPr>
                <w:rFonts w:hint="eastAsia" w:ascii="宋体" w:hAnsi="宋体" w:cs="宋体"/>
                <w:szCs w:val="21"/>
                <w:lang w:val="en-US" w:eastAsia="zh-CN"/>
              </w:rPr>
              <w:t xml:space="preserve"> </w:t>
            </w:r>
            <w:r>
              <w:rPr>
                <w:rFonts w:hint="eastAsia" w:ascii="宋体" w:hAnsi="宋体" w:eastAsia="宋体" w:cs="宋体"/>
                <w:szCs w:val="21"/>
              </w:rPr>
              <w:t>辐射防护设备和其他设备</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18.1</w:t>
            </w:r>
            <w:r>
              <w:rPr>
                <w:rFonts w:hint="eastAsia" w:ascii="宋体" w:hAnsi="宋体" w:cs="宋体"/>
                <w:szCs w:val="21"/>
                <w:lang w:val="en-US" w:eastAsia="zh-CN"/>
              </w:rPr>
              <w:t xml:space="preserve"> </w:t>
            </w:r>
            <w:r>
              <w:rPr>
                <w:rFonts w:hint="eastAsia" w:ascii="宋体" w:hAnsi="宋体" w:eastAsia="宋体" w:cs="宋体"/>
                <w:szCs w:val="21"/>
              </w:rPr>
              <w:t>X线固定报警仪1个</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18.2手持式辐射仪1个</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18.3个人剂量报警仪3个</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18.4电子防潮箱1套，外尺寸：≥宽90cm×深60cm×高100cm，防静电指标：满足国标，湿度控制精度：±2.5%RH；温度显示精度：±1℃</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18.5开口小水箱1套，内尺寸：≥30cm×30cm×30cm，适配电离室规格：0.6cc，配置四脚水平调节螺丝</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w:t>
            </w:r>
            <w:r>
              <w:rPr>
                <w:rFonts w:hint="eastAsia" w:ascii="宋体" w:hAnsi="宋体" w:cs="宋体"/>
                <w:szCs w:val="21"/>
                <w:lang w:val="en-US" w:eastAsia="zh-CN"/>
              </w:rPr>
              <w:t xml:space="preserve"> </w:t>
            </w:r>
            <w:r>
              <w:rPr>
                <w:rFonts w:hint="eastAsia" w:ascii="宋体" w:hAnsi="宋体" w:eastAsia="宋体" w:cs="宋体"/>
                <w:szCs w:val="21"/>
              </w:rPr>
              <w:t>体位固定方案</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19.1适用于肿瘤放疗患者高精度重复体位固定，包含多功能一体化固定系统及附件、SBRT固定系统及附件</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19.1.1人体固定架（碳纤维一体化固定架）2套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19.1.2人体固定架（手臂支撑架）1套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19.1.3人体固定架（膝部垫）1套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19.1.4人体固定架（俯卧乳腺泡棉组件）6套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19.1.5人体固定架（俯卧盆腔泡绵组件）6套</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19.1.6人体固定架（适配条）6根</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19.1.7人体固定架（适配条）6根</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19.1.8人体固定架（透明头枕）5个</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19.1.9人体固定架（俯卧头枕）6个</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19.1.10人体定位垫（塑形垫专用头枕）2个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rPr>
              <w:t>19.1.11体部立体定向固定方案2套</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19.1.12腹部气囊加压装置5个</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19.1.13定位膜（0.3cm补偿膜）5张、定位膜（口含器）5个、定位膜（咬合器）5个</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19.2多功能一体化固定系统主体使用碳纤维材质,组件包括基础板、手臂支撑架、膝部垫、盆腔俯卧固定组件、乳腺俯卧固定组件及必要的辅助配件</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★19.3多功能一体化固定系统兼容科室CT模拟定位室和直加治疗室在用固定装置</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19.4</w:t>
            </w:r>
            <w:r>
              <w:rPr>
                <w:rFonts w:hint="eastAsia" w:ascii="宋体" w:hAnsi="宋体" w:cs="宋体"/>
                <w:szCs w:val="21"/>
                <w:lang w:val="en-US" w:eastAsia="zh-CN"/>
              </w:rPr>
              <w:t xml:space="preserve"> </w:t>
            </w:r>
            <w:r>
              <w:rPr>
                <w:rFonts w:hint="eastAsia" w:ascii="宋体" w:hAnsi="宋体" w:eastAsia="宋体" w:cs="宋体"/>
                <w:szCs w:val="21"/>
              </w:rPr>
              <w:t>SBRT固定系统组件包括基础板、翼形板、膝踝垫、腹部桥架、膝部桥架及必要的辅助配件</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19.5</w:t>
            </w:r>
            <w:r>
              <w:rPr>
                <w:rFonts w:hint="eastAsia" w:ascii="宋体" w:hAnsi="宋体" w:cs="宋体"/>
                <w:szCs w:val="21"/>
                <w:lang w:val="en-US" w:eastAsia="zh-CN"/>
              </w:rPr>
              <w:t xml:space="preserve"> </w:t>
            </w:r>
            <w:r>
              <w:rPr>
                <w:rFonts w:hint="eastAsia" w:ascii="宋体" w:hAnsi="宋体" w:eastAsia="宋体" w:cs="宋体"/>
                <w:szCs w:val="21"/>
              </w:rPr>
              <w:t>SBRT固定系统腹部桥架、膝部桥架采用环形结构设计，使用核磁模拟定位时可以避免体部线圈与扫描部位距离过远而影响图像质量</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19.6</w:t>
            </w:r>
            <w:r>
              <w:rPr>
                <w:rFonts w:hint="eastAsia" w:ascii="宋体" w:hAnsi="宋体" w:cs="宋体"/>
                <w:szCs w:val="21"/>
                <w:lang w:val="en-US" w:eastAsia="zh-CN"/>
              </w:rPr>
              <w:t xml:space="preserve"> </w:t>
            </w:r>
            <w:r>
              <w:rPr>
                <w:rFonts w:hint="eastAsia" w:ascii="宋体" w:hAnsi="宋体" w:eastAsia="宋体" w:cs="宋体"/>
                <w:szCs w:val="21"/>
              </w:rPr>
              <w:t>SBRT固定系统腹部桥架左右两侧独立调节，可实现偏侧压腹调节，高度可调档位≥13，一键锁紧设计</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19.7产品质量达到国际标准，获得FDA、CE销售许可</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▲20配备体表光学定位系统，实现患者体位精准校准,且满足临床开展呼吸运动管理的功能。</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20.1自带质控模块，可进行周期性校准</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20.2放射性安全：不产生X射线，对患者无额外致电离辐射风险</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20.3可根据结构集判断患者躯体厚度，确定监测区域</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20.4可实时进行探测无中断</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20.5动态显示：可在治疗室内显示屏动态显示患者移动情况</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20.6分次内出束中患者位置监测功能</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20.7可在出束中实时监测患者的位置移动</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20.8监测系统无需任何标记或辅助设备，实时、动态、无辐射</w:t>
            </w:r>
            <w:r>
              <w:rPr>
                <w:rFonts w:hint="eastAsia" w:ascii="宋体" w:hAnsi="宋体" w:cs="宋体"/>
                <w:szCs w:val="21"/>
                <w:lang w:eastAsia="zh-CN"/>
              </w:rPr>
              <w:t>；</w:t>
            </w:r>
          </w:p>
          <w:p>
            <w:pPr>
              <w:textAlignment w:val="baseline"/>
              <w:rPr>
                <w:rFonts w:hint="eastAsia" w:ascii="宋体" w:hAnsi="宋体" w:eastAsia="宋体" w:cs="宋体"/>
                <w:szCs w:val="21"/>
              </w:rPr>
            </w:pPr>
            <w:r>
              <w:rPr>
                <w:rFonts w:hint="eastAsia" w:ascii="宋体" w:hAnsi="宋体" w:eastAsia="宋体" w:cs="宋体"/>
                <w:szCs w:val="21"/>
              </w:rPr>
              <w:t>20.9移动误差同步显示在触摸屏和监测屏幕</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20.10提醒治疗师患者的移动和幅度</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rPr>
            </w:pPr>
            <w:r>
              <w:rPr>
                <w:rFonts w:hint="eastAsia" w:ascii="宋体" w:hAnsi="宋体" w:eastAsia="宋体" w:cs="宋体"/>
                <w:szCs w:val="21"/>
              </w:rPr>
              <w:t>20.11在患者处于治疗床的一定范围内，自动探测监测范围</w:t>
            </w:r>
            <w:r>
              <w:rPr>
                <w:rFonts w:hint="eastAsia" w:ascii="宋体" w:hAnsi="宋体" w:cs="宋体"/>
                <w:szCs w:val="21"/>
                <w:lang w:eastAsia="zh-CN"/>
              </w:rPr>
              <w:t>；</w:t>
            </w:r>
            <w:r>
              <w:rPr>
                <w:rFonts w:hint="eastAsia" w:ascii="宋体" w:hAnsi="宋体" w:eastAsia="宋体" w:cs="宋体"/>
                <w:szCs w:val="21"/>
              </w:rPr>
              <w:tab/>
            </w:r>
          </w:p>
          <w:p>
            <w:pPr>
              <w:textAlignment w:val="baseline"/>
              <w:rPr>
                <w:rFonts w:hint="eastAsia" w:ascii="宋体" w:hAnsi="宋体" w:eastAsia="宋体" w:cs="宋体"/>
                <w:szCs w:val="21"/>
                <w:lang w:eastAsia="zh-CN"/>
              </w:rPr>
            </w:pPr>
            <w:r>
              <w:rPr>
                <w:rFonts w:hint="eastAsia" w:ascii="宋体" w:hAnsi="宋体" w:eastAsia="宋体" w:cs="宋体"/>
                <w:szCs w:val="21"/>
              </w:rPr>
              <w:t>20.12患者实时监视系统监测患者移动，并基于阈值提供预警提示</w:t>
            </w:r>
            <w:r>
              <w:rPr>
                <w:rFonts w:hint="eastAsia" w:ascii="宋体" w:hAnsi="宋体" w:cs="宋体"/>
                <w:szCs w:val="21"/>
                <w:lang w:eastAsia="zh-CN"/>
              </w:rPr>
              <w:t>。</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w:t>
      </w:r>
      <w:r>
        <w:rPr>
          <w:rFonts w:hint="eastAsia" w:ascii="宋体" w:hAnsi="宋体" w:cs="宋体"/>
          <w:sz w:val="21"/>
          <w:szCs w:val="21"/>
        </w:rPr>
        <w:t>（以下所有为实质性要求条款不满足作无效投标处理）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w:t>
      </w:r>
      <w:r>
        <w:rPr>
          <w:rFonts w:hint="eastAsia" w:ascii="宋体" w:hAnsi="宋体" w:cs="宋体"/>
          <w:sz w:val="21"/>
          <w:szCs w:val="21"/>
          <w:lang w:eastAsia="zh"/>
        </w:rPr>
        <w:t>95%</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
        </w:rPr>
        <w:t>1年内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color w:val="000000" w:themeColor="text1"/>
          <w:sz w:val="21"/>
          <w:szCs w:val="21"/>
          <w14:textFill>
            <w14:solidFill>
              <w14:schemeClr w14:val="tx1"/>
            </w14:solidFill>
          </w14:textFill>
        </w:rPr>
        <w:t>安装调试完成后，中标供应商对采购人提供</w:t>
      </w:r>
      <w:r>
        <w:rPr>
          <w:rFonts w:hint="eastAsia" w:ascii="宋体" w:hAnsi="宋体" w:cs="宋体"/>
          <w:color w:val="000000" w:themeColor="text1"/>
          <w:sz w:val="21"/>
          <w:szCs w:val="21"/>
          <w:lang w:val="en-US" w:eastAsia="zh-CN"/>
          <w14:textFill>
            <w14:solidFill>
              <w14:schemeClr w14:val="tx1"/>
            </w14:solidFill>
          </w14:textFill>
        </w:rPr>
        <w:t>不少于3人</w:t>
      </w:r>
      <w:r>
        <w:rPr>
          <w:rFonts w:hint="eastAsia" w:ascii="宋体" w:hAnsi="宋体" w:cs="宋体"/>
          <w:color w:val="000000" w:themeColor="text1"/>
          <w:sz w:val="21"/>
          <w:szCs w:val="21"/>
          <w14:textFill>
            <w14:solidFill>
              <w14:schemeClr w14:val="tx1"/>
            </w14:solidFill>
          </w14:textFill>
        </w:rPr>
        <w:t>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20" w:lineRule="exact"/>
        <w:ind w:firstLine="420" w:firstLineChars="200"/>
        <w:rPr>
          <w:rFonts w:hint="eastAsia" w:ascii="宋体" w:hAnsi="宋体" w:eastAsia="宋体" w:cs="宋体"/>
          <w:sz w:val="21"/>
          <w:szCs w:val="21"/>
          <w:lang w:eastAsia="zh"/>
        </w:rPr>
      </w:pPr>
      <w:r>
        <w:rPr>
          <w:rFonts w:hint="eastAsia" w:ascii="宋体" w:hAnsi="宋体" w:cs="宋体"/>
          <w:sz w:val="21"/>
          <w:szCs w:val="21"/>
        </w:rPr>
        <w:t>投标报价包含货物、货物标准附件、备品备件、专用工具、设备安装辅材、施工辅材、包装、运输、装卸、保险、连接医院信息系统接口费（如</w:t>
      </w:r>
      <w:r>
        <w:rPr>
          <w:rFonts w:hint="eastAsia" w:ascii="宋体" w:hAnsi="宋体" w:cs="宋体"/>
          <w:sz w:val="21"/>
          <w:szCs w:val="21"/>
          <w:lang w:eastAsia="zh"/>
        </w:rPr>
        <w:t>HIS、PACS</w:t>
      </w:r>
      <w:r>
        <w:rPr>
          <w:rFonts w:hint="eastAsia" w:ascii="宋体" w:hAnsi="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2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2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w:t>
      </w:r>
    </w:p>
    <w:p>
      <w:pPr>
        <w:spacing w:line="400" w:lineRule="exact"/>
        <w:ind w:firstLine="420" w:firstLineChars="200"/>
        <w:jc w:val="left"/>
        <w:rPr>
          <w:rFonts w:hint="eastAsia" w:ascii="宋体" w:hAnsi="宋体" w:eastAsia="宋体" w:cs="宋体"/>
          <w:b/>
          <w:bCs/>
          <w:sz w:val="21"/>
          <w:szCs w:val="21"/>
        </w:rPr>
      </w:pPr>
      <w:r>
        <w:rPr>
          <w:rFonts w:hint="eastAsia" w:ascii="宋体" w:hAnsi="宋体" w:cs="宋体"/>
          <w:sz w:val="21"/>
          <w:szCs w:val="21"/>
        </w:rPr>
        <w:t>4.生产厂家售后服务承诺书等。</w:t>
      </w:r>
    </w:p>
    <w:p>
      <w:pPr>
        <w:pStyle w:val="2"/>
        <w:spacing w:line="400" w:lineRule="exact"/>
        <w:rPr>
          <w:rFonts w:hint="eastAsia" w:hAnsi="宋体"/>
          <w:sz w:val="21"/>
          <w:szCs w:val="21"/>
        </w:rPr>
      </w:pPr>
    </w:p>
    <w:p>
      <w:pPr>
        <w:pStyle w:val="2"/>
        <w:spacing w:line="400" w:lineRule="exact"/>
        <w:ind w:firstLine="210" w:firstLineChars="1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w:t>
      </w:r>
      <w:r>
        <w:rPr>
          <w:rFonts w:hint="eastAsia" w:hAnsi="宋体" w:cs="宋体"/>
          <w:b/>
          <w:bCs/>
          <w:sz w:val="21"/>
          <w:szCs w:val="21"/>
          <w:lang w:eastAsia="zh"/>
        </w:rPr>
        <w:t>医用直线加速器(分标2)</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6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54"/>
        <w:gridCol w:w="86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b w:val="0"/>
                <w:bCs/>
                <w:kern w:val="0"/>
                <w:sz w:val="21"/>
                <w:szCs w:val="21"/>
                <w:highlight w:val="none"/>
                <w:lang w:val="en-US" w:eastAsia="zh"/>
              </w:rPr>
              <w:t>柳州市工人医院</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ascii="宋体" w:hAnsi="宋体"/>
          <w:b/>
          <w:bCs/>
          <w:color w:val="auto"/>
          <w:szCs w:val="21"/>
          <w:u w:val="none"/>
        </w:rPr>
      </w:pPr>
    </w:p>
    <w:p>
      <w:pPr>
        <w:pStyle w:val="3"/>
        <w:jc w:val="both"/>
      </w:pPr>
    </w:p>
    <w:p/>
    <w:p>
      <w:pPr>
        <w:pStyle w:val="2"/>
        <w:rPr>
          <w:color w:val="auto"/>
        </w:rPr>
      </w:pPr>
    </w:p>
    <w:p>
      <w:pPr>
        <w:rPr>
          <w:rFonts w:hint="eastAsia"/>
        </w:rPr>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pPr>
    </w:p>
    <w:p>
      <w:pPr>
        <w:rPr>
          <w:rFonts w:hint="eastAsia" w:ascii="宋体" w:hAnsi="宋体" w:eastAsia="宋体" w:cs="宋体"/>
          <w:b/>
          <w:bCs/>
          <w:color w:val="000000" w:themeColor="text1"/>
          <w:sz w:val="24"/>
          <w:lang w:eastAsia="zh"/>
          <w14:textFill>
            <w14:solidFill>
              <w14:schemeClr w14:val="tx1"/>
            </w14:solidFill>
          </w14:textFill>
        </w:rPr>
      </w:pPr>
      <w:r>
        <w:rPr>
          <w:rStyle w:val="191"/>
          <w:rFonts w:hint="eastAsia" w:ascii="宋体" w:hAnsi="宋体"/>
          <w:b/>
          <w:bCs/>
          <w:color w:val="auto"/>
          <w:sz w:val="21"/>
          <w:szCs w:val="21"/>
          <w:u w:val="none"/>
        </w:rPr>
        <w:t>分标</w:t>
      </w:r>
      <w:r>
        <w:rPr>
          <w:rStyle w:val="191"/>
          <w:rFonts w:hint="eastAsia" w:ascii="宋体" w:hAnsi="宋体"/>
          <w:b/>
          <w:bCs/>
          <w:color w:val="auto"/>
          <w:sz w:val="21"/>
          <w:szCs w:val="21"/>
          <w:u w:val="none"/>
          <w:lang w:val="en-US" w:eastAsia="zh-CN"/>
        </w:rPr>
        <w:t>3</w:t>
      </w:r>
      <w:r>
        <w:rPr>
          <w:rStyle w:val="191"/>
          <w:rFonts w:hint="eastAsia" w:ascii="宋体" w:hAnsi="宋体"/>
          <w:b/>
          <w:bCs/>
          <w:color w:val="auto"/>
          <w:sz w:val="21"/>
          <w:szCs w:val="21"/>
          <w:u w:val="none"/>
        </w:rPr>
        <w:t>：</w:t>
      </w:r>
      <w:r>
        <w:rPr>
          <w:rStyle w:val="191"/>
          <w:rFonts w:hint="eastAsia" w:ascii="宋体" w:hAnsi="宋体"/>
          <w:b/>
          <w:bCs/>
          <w:color w:val="auto"/>
          <w:sz w:val="21"/>
          <w:szCs w:val="21"/>
          <w:u w:val="none"/>
          <w:lang w:eastAsia="zh"/>
        </w:rPr>
        <w:t>医用直线加速器(分标</w:t>
      </w:r>
      <w:r>
        <w:rPr>
          <w:rStyle w:val="191"/>
          <w:rFonts w:hint="eastAsia" w:ascii="宋体" w:hAnsi="宋体"/>
          <w:b/>
          <w:bCs/>
          <w:color w:val="auto"/>
          <w:sz w:val="21"/>
          <w:szCs w:val="21"/>
          <w:u w:val="none"/>
          <w:lang w:val="en-US" w:eastAsia="zh"/>
        </w:rPr>
        <w:t>3</w:t>
      </w:r>
      <w:r>
        <w:rPr>
          <w:rStyle w:val="191"/>
          <w:rFonts w:hint="eastAsia" w:ascii="宋体" w:hAnsi="宋体"/>
          <w:b/>
          <w:bCs/>
          <w:color w:val="auto"/>
          <w:sz w:val="21"/>
          <w:szCs w:val="21"/>
          <w:u w:val="none"/>
          <w:lang w:eastAsia="zh"/>
        </w:rPr>
        <w:t>)</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highlight w:val="none"/>
          <w:lang w:val="en-US" w:eastAsia="zh-CN"/>
        </w:rPr>
        <w:t>2100</w:t>
      </w:r>
      <w:r>
        <w:rPr>
          <w:rFonts w:hint="eastAsia"/>
          <w:color w:val="auto"/>
          <w:lang w:eastAsia="zh-CN"/>
        </w:rPr>
        <w:t>万元</w:t>
      </w:r>
    </w:p>
    <w:p>
      <w:pPr>
        <w:spacing w:line="400" w:lineRule="exact"/>
        <w:ind w:firstLine="420" w:firstLineChars="200"/>
        <w:rPr>
          <w:rFonts w:hint="eastAsia"/>
          <w:color w:val="auto"/>
          <w:lang w:eastAsia="zh-CN"/>
        </w:rPr>
      </w:pPr>
      <w:r>
        <w:rPr>
          <w:rFonts w:hint="eastAsia"/>
          <w:color w:val="auto"/>
          <w:lang w:eastAsia="zh-CN"/>
        </w:rPr>
        <w:t>最高限价：</w:t>
      </w:r>
      <w:r>
        <w:rPr>
          <w:rFonts w:hint="eastAsia" w:cs="Times New Roman"/>
          <w:color w:val="auto"/>
          <w:sz w:val="21"/>
          <w:szCs w:val="24"/>
          <w:shd w:val="clear"/>
          <w:lang w:val="en-US" w:eastAsia="zh-CN"/>
        </w:rPr>
        <w:t>2100</w:t>
      </w:r>
      <w:r>
        <w:rPr>
          <w:rFonts w:hint="eastAsia"/>
          <w:color w:val="auto"/>
          <w:lang w:eastAsia="zh-CN"/>
        </w:rPr>
        <w:t>万元（</w:t>
      </w:r>
      <w:r>
        <w:rPr>
          <w:rFonts w:hint="eastAsia"/>
          <w:color w:val="auto"/>
          <w:lang w:val="en-US" w:eastAsia="zh-CN"/>
        </w:rPr>
        <w:t>2100</w:t>
      </w:r>
      <w:r>
        <w:rPr>
          <w:rFonts w:hint="eastAsia"/>
          <w:color w:val="auto"/>
          <w:lang w:eastAsia="zh-CN"/>
        </w:rPr>
        <w:t>万元/套）</w:t>
      </w:r>
    </w:p>
    <w:p>
      <w:pPr>
        <w:pStyle w:val="2"/>
        <w:rPr>
          <w:rFonts w:hint="eastAsia"/>
          <w:color w:val="auto"/>
          <w:lang w:eastAsia="zh-CN"/>
        </w:rPr>
      </w:pPr>
    </w:p>
    <w:p>
      <w:pPr>
        <w:ind w:firstLine="420"/>
        <w:rPr>
          <w:rFonts w:hint="eastAsia"/>
          <w:color w:val="auto"/>
          <w:lang w:eastAsia="zh-CN"/>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35" w:type="pct"/>
            <w:vAlign w:val="center"/>
          </w:tcPr>
          <w:p>
            <w:pPr>
              <w:snapToGrid w:val="0"/>
              <w:jc w:val="center"/>
              <w:rPr>
                <w:rFonts w:hint="eastAsia" w:ascii="宋体" w:hAnsi="宋体" w:eastAsia="宋体" w:cs="宋体"/>
                <w:szCs w:val="21"/>
                <w:lang w:eastAsia="zh"/>
              </w:rPr>
            </w:pPr>
            <w:r>
              <w:rPr>
                <w:rFonts w:hint="eastAsia" w:ascii="宋体" w:hAnsi="宋体" w:cs="宋体"/>
                <w:b/>
                <w:bCs/>
                <w:color w:val="000000" w:themeColor="text1"/>
                <w:sz w:val="21"/>
                <w:szCs w:val="21"/>
                <w:lang w:eastAsia="zh"/>
                <w14:textFill>
                  <w14:solidFill>
                    <w14:schemeClr w14:val="tx1"/>
                  </w14:solidFill>
                </w14:textFill>
              </w:rPr>
              <w:t>医用直线加速器(分标</w:t>
            </w:r>
            <w:r>
              <w:rPr>
                <w:rFonts w:hint="eastAsia" w:ascii="宋体" w:hAnsi="宋体" w:cs="宋体"/>
                <w:b/>
                <w:bCs/>
                <w:color w:val="000000" w:themeColor="text1"/>
                <w:sz w:val="21"/>
                <w:szCs w:val="21"/>
                <w:lang w:val="en-US" w:eastAsia="zh"/>
                <w14:textFill>
                  <w14:solidFill>
                    <w14:schemeClr w14:val="tx1"/>
                  </w14:solidFill>
                </w14:textFill>
              </w:rPr>
              <w:t>3</w:t>
            </w:r>
            <w:r>
              <w:rPr>
                <w:rFonts w:hint="eastAsia" w:ascii="宋体" w:hAnsi="宋体" w:cs="宋体"/>
                <w:b/>
                <w:bCs/>
                <w:color w:val="000000" w:themeColor="text1"/>
                <w:sz w:val="21"/>
                <w:szCs w:val="21"/>
                <w:lang w:eastAsia="zh"/>
                <w14:textFill>
                  <w14:solidFill>
                    <w14:schemeClr w14:val="tx1"/>
                  </w14:solidFill>
                </w14:textFill>
              </w:rPr>
              <w:t>)</w:t>
            </w:r>
          </w:p>
        </w:tc>
        <w:tc>
          <w:tcPr>
            <w:tcW w:w="463"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210" w:type="pct"/>
            <w:vAlign w:val="center"/>
          </w:tcPr>
          <w:p>
            <w:pPr>
              <w:numPr>
                <w:ilvl w:val="0"/>
                <w:numId w:val="0"/>
              </w:numPr>
              <w:spacing w:line="240" w:lineRule="auto"/>
              <w:textAlignment w:val="auto"/>
              <w:rPr>
                <w:rFonts w:hint="eastAsia" w:ascii="宋体" w:hAnsi="宋体" w:cs="宋体"/>
                <w:szCs w:val="21"/>
              </w:rPr>
            </w:pPr>
            <w:r>
              <w:rPr>
                <w:rFonts w:hint="eastAsia" w:ascii="宋体" w:hAnsi="宋体" w:cs="宋体"/>
                <w:szCs w:val="21"/>
              </w:rPr>
              <w:t>一、医用直线加速器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（一）医用直线加速器主机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主机基本要求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▲1.1投标产品须具备普通放疗、三维适形放疗、静态/动态调强、图像引导调强放疗、容积旋转调强放疗等功能。</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1.2医疗器械注册证中临床适用范围需包含体部立体定向放射治疗 （需提供《中华人民共和国医疗器械注册证》）</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1.3加速管类型：行波或驻波。</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1.4微波功率源：磁控管。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★1.5微波输出峰值功率：≥3MW。</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1.6电离室：密闭式或开放式多通道电离室，具有完善的安全联锁自动装置。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1.7电离室结构：有≥2对完全独立的监测电极，分别用于监测剂量、能量、束流准直特性和照射野的对称性。</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1.8遥控器≥1个，能同时控制所有机械运动。具有速度可调功能，可调整机器参数，加载卸载患者治疗射野。</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1.9室内数据显示器：在治疗室内安装有≥2个数据显示器。治疗时可显示所有治疗参数包括机械参数。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1.10安全连锁：具有防碰撞连锁系统。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 X射线束特性</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2.1具备6MV光子治疗能量。</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2.2 6MV常规X线的最大剂量率(等中心)≥ 600MU/min（提供投标型号的注册证附件-产品技术要求，含该型号的制造商盖章和医疗器械检验所盖章，并标明位置；或提供投标型号药监局检测报告扫描件，含医疗器械检验所盖章，并标明位置）（仅有FFF模式机型不做要求）</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▲2.3具备6MV高剂量率模式，X射线最大剂量率≥1200MU/min。</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2.4治疗用X线能量的剂量率范围可调。</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
              </w:rPr>
              <w:t>5</w:t>
            </w:r>
            <w:r>
              <w:rPr>
                <w:rFonts w:hint="eastAsia" w:ascii="宋体" w:hAnsi="宋体" w:cs="宋体"/>
                <w:szCs w:val="21"/>
              </w:rPr>
              <w:t>剂量重复性：≤0.5%。</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
              </w:rPr>
              <w:t>6</w:t>
            </w:r>
            <w:r>
              <w:rPr>
                <w:rFonts w:hint="eastAsia" w:ascii="宋体" w:hAnsi="宋体" w:cs="宋体"/>
                <w:szCs w:val="21"/>
              </w:rPr>
              <w:t>剂量线性度：≤±1%（投标时提供具备资质的第三方机构出具的检测报告或技术白皮书或加盖公章的制造商公开发布的印刷资料）。</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
              </w:rPr>
              <w:t>7</w:t>
            </w:r>
            <w:r>
              <w:rPr>
                <w:rFonts w:hint="eastAsia" w:ascii="宋体" w:hAnsi="宋体" w:cs="宋体"/>
                <w:szCs w:val="21"/>
              </w:rPr>
              <w:t>单纯多叶准直器射线透射率（不含钨门）：≤0.75%。</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治疗模式</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3.1具备dIMRT动态调强放疗功能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3.2具备sIMRT静态调强放疗功能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3.3具备动态容积旋转调强放疗功能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3.4具备3D-CRT三维适形放疗功能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3.5具备门控治疗功能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★3.6具备在线自适应技术放疗流程和计划（投标时提供证明文件）</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机械运动系统</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★4.1环形机架旋转速度≥4RPM或C型机架≥1RPM</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4.2机架旋转角度（顺时针和逆时针方向）≥360°，SAD距离≥100cm，误差≤0.5°</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4.3辐射野与影像中心综合精度：≤1mm半径球体。</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★4.4准直器系统旋转:可旋转范围≥180°，精度≤0.5°。</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▲4.5等中心高度≤124cm。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4.6机架具备机械防碰撞模式，能够根据加速器、治疗床、患者、EPID的模型数据，对治疗计划的执行过程预测碰撞风险，提前对用户发出警告。</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4.7机架等中心精度：≤0.75mm。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电动多叶准直器（MLC）系统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5.1准直器规格：内置式电动多叶准直器。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▲5.2叶片数量</w:t>
            </w:r>
            <w:r>
              <w:rPr>
                <w:rFonts w:hint="eastAsia" w:ascii="宋体" w:hAnsi="宋体" w:cs="宋体"/>
                <w:szCs w:val="21"/>
                <w:lang w:eastAsia="zh-CN"/>
              </w:rPr>
              <w:t>：</w:t>
            </w:r>
            <w:r>
              <w:rPr>
                <w:rFonts w:hint="eastAsia" w:ascii="宋体" w:hAnsi="宋体" w:cs="宋体"/>
                <w:szCs w:val="21"/>
              </w:rPr>
              <w:t>≥120片。</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5.3叶片移动精度</w:t>
            </w:r>
            <w:r>
              <w:rPr>
                <w:rFonts w:hint="eastAsia" w:ascii="宋体" w:hAnsi="宋体" w:cs="宋体"/>
                <w:szCs w:val="21"/>
                <w:lang w:eastAsia="zh-CN"/>
              </w:rPr>
              <w:t>：</w:t>
            </w:r>
            <w:r>
              <w:rPr>
                <w:rFonts w:hint="eastAsia" w:ascii="宋体" w:hAnsi="宋体" w:cs="宋体"/>
                <w:szCs w:val="21"/>
              </w:rPr>
              <w:t>≤1mm</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5.4叶片等中心处移动重复精度</w:t>
            </w:r>
            <w:r>
              <w:rPr>
                <w:rFonts w:hint="eastAsia" w:ascii="宋体" w:hAnsi="宋体" w:cs="宋体"/>
                <w:szCs w:val="21"/>
                <w:lang w:eastAsia="zh-CN"/>
              </w:rPr>
              <w:t>：</w:t>
            </w:r>
            <w:r>
              <w:rPr>
                <w:rFonts w:hint="eastAsia" w:ascii="宋体" w:hAnsi="宋体" w:cs="宋体"/>
                <w:szCs w:val="21"/>
              </w:rPr>
              <w:t>≤0.5mm。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5.5多叶准直器的端面半影</w:t>
            </w:r>
            <w:r>
              <w:rPr>
                <w:rFonts w:hint="eastAsia" w:ascii="宋体" w:hAnsi="宋体" w:cs="宋体"/>
                <w:szCs w:val="21"/>
                <w:lang w:eastAsia="zh-CN"/>
              </w:rPr>
              <w:t>：</w:t>
            </w:r>
            <w:r>
              <w:rPr>
                <w:rFonts w:hint="eastAsia" w:ascii="宋体" w:hAnsi="宋体" w:cs="宋体"/>
                <w:szCs w:val="21"/>
              </w:rPr>
              <w:t>≤7mm。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▲5.6最大照射野：≥30cm×30cm。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5.7叶片在等中心平面的最小投影宽度</w:t>
            </w:r>
            <w:r>
              <w:rPr>
                <w:rFonts w:hint="eastAsia" w:ascii="宋体" w:hAnsi="宋体" w:cs="宋体"/>
                <w:szCs w:val="21"/>
                <w:lang w:eastAsia="zh-CN"/>
              </w:rPr>
              <w:t>：</w:t>
            </w:r>
            <w:r>
              <w:rPr>
                <w:rFonts w:hint="eastAsia" w:ascii="宋体" w:hAnsi="宋体" w:cs="宋体"/>
                <w:szCs w:val="21"/>
              </w:rPr>
              <w:t>≤5mm。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★5.8等中心处叶片的移动速度</w:t>
            </w:r>
            <w:r>
              <w:rPr>
                <w:rFonts w:hint="eastAsia" w:ascii="宋体" w:hAnsi="宋体" w:cs="宋体"/>
                <w:szCs w:val="21"/>
                <w:lang w:eastAsia="zh-CN"/>
              </w:rPr>
              <w:t>：</w:t>
            </w:r>
            <w:r>
              <w:rPr>
                <w:rFonts w:hint="eastAsia" w:ascii="宋体" w:hAnsi="宋体" w:cs="宋体"/>
                <w:szCs w:val="21"/>
              </w:rPr>
              <w:t>≥5cm/s。</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5.9叶片维修</w:t>
            </w:r>
            <w:r>
              <w:rPr>
                <w:rFonts w:hint="eastAsia" w:ascii="宋体" w:hAnsi="宋体" w:cs="宋体"/>
                <w:szCs w:val="21"/>
                <w:lang w:eastAsia="zh-CN"/>
              </w:rPr>
              <w:t>：</w:t>
            </w:r>
            <w:r>
              <w:rPr>
                <w:rFonts w:hint="eastAsia" w:ascii="宋体" w:hAnsi="宋体" w:cs="宋体"/>
                <w:szCs w:val="21"/>
              </w:rPr>
              <w:t>叶片可单独拆卸，且自动复位。</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5.10叶片的验证/校准:实时的叶片位置验证，配备校正软件和相关硬件。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5.11多叶准直器支持的临床应用</w:t>
            </w:r>
            <w:r>
              <w:rPr>
                <w:rFonts w:hint="eastAsia" w:ascii="宋体" w:hAnsi="宋体" w:cs="宋体"/>
                <w:szCs w:val="21"/>
                <w:lang w:eastAsia="zh-CN"/>
              </w:rPr>
              <w:t>：</w:t>
            </w:r>
            <w:r>
              <w:rPr>
                <w:rFonts w:hint="eastAsia" w:ascii="宋体" w:hAnsi="宋体" w:cs="宋体"/>
                <w:szCs w:val="21"/>
              </w:rPr>
              <w:t>可进行 3D-CRT、静态调强、动态调强、容积旋转调强、SBRT、SRS等。</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5.12叶片及准直器联合最大漏射率</w:t>
            </w:r>
            <w:r>
              <w:rPr>
                <w:rFonts w:hint="eastAsia" w:ascii="宋体" w:hAnsi="宋体" w:cs="宋体"/>
                <w:szCs w:val="21"/>
                <w:lang w:eastAsia="zh-CN"/>
              </w:rPr>
              <w:t>：</w:t>
            </w:r>
            <w:r>
              <w:rPr>
                <w:rFonts w:hint="eastAsia" w:ascii="宋体" w:hAnsi="宋体" w:cs="宋体"/>
                <w:szCs w:val="21"/>
              </w:rPr>
              <w:t>0.5%。</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治疗床</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6.1负载能力：≥200公斤。</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6.2治疗床面板材料：治疗床面板为全碳纤维床面板。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★6.3治疗床左右移动范围：≥40cm。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★6.4治疗床升降移动范围：≥45cm。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★6.5治疗床前后移动范围：≥100cm。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6.6治疗床移动精度：≤2mm。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6.7手动控制：除了由电机控制运动之外，所有的治疗床运动均能由手动方式控制。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 xml:space="preserve"> </w:t>
            </w:r>
            <w:r>
              <w:rPr>
                <w:rFonts w:hint="eastAsia" w:ascii="宋体" w:hAnsi="宋体" w:cs="宋体"/>
                <w:szCs w:val="21"/>
              </w:rPr>
              <w:t>四维影像引导系统</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7.1提供CBCT或机载CT</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7.2千伏级X射线成像系统集成于加速器上。</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7.3平板探测器尺寸</w:t>
            </w:r>
            <w:r>
              <w:rPr>
                <w:rFonts w:hint="eastAsia" w:ascii="宋体" w:hAnsi="宋体" w:cs="宋体"/>
                <w:szCs w:val="21"/>
                <w:lang w:eastAsia="zh-CN"/>
              </w:rPr>
              <w:t>：</w:t>
            </w:r>
            <w:r>
              <w:rPr>
                <w:rFonts w:hint="eastAsia" w:ascii="宋体" w:hAnsi="宋体" w:cs="宋体"/>
                <w:szCs w:val="21"/>
              </w:rPr>
              <w:t>≥41cm×41cm。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★7.4探测器最大像素矩阵</w:t>
            </w:r>
            <w:r>
              <w:rPr>
                <w:rFonts w:hint="eastAsia" w:ascii="宋体" w:hAnsi="宋体" w:cs="宋体"/>
                <w:szCs w:val="21"/>
                <w:lang w:eastAsia="zh-CN"/>
              </w:rPr>
              <w:t>：</w:t>
            </w:r>
            <w:r>
              <w:rPr>
                <w:rFonts w:hint="eastAsia" w:ascii="宋体" w:hAnsi="宋体" w:cs="宋体"/>
                <w:szCs w:val="21"/>
              </w:rPr>
              <w:t>≥1024×1024，影像灰度值：≥16bit。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★7.5 探测器空间分辨率</w:t>
            </w:r>
            <w:r>
              <w:rPr>
                <w:rFonts w:hint="eastAsia" w:ascii="宋体" w:hAnsi="宋体" w:cs="宋体"/>
                <w:szCs w:val="21"/>
                <w:lang w:eastAsia="zh-CN"/>
              </w:rPr>
              <w:t>：</w:t>
            </w:r>
            <w:r>
              <w:rPr>
                <w:rFonts w:hint="eastAsia" w:ascii="宋体" w:hAnsi="宋体" w:cs="宋体"/>
                <w:szCs w:val="21"/>
              </w:rPr>
              <w:t>≥10LP/CM@0MTF。</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7.6 X线KV输出范围：最大X射线球管电压</w:t>
            </w:r>
            <w:r>
              <w:rPr>
                <w:rFonts w:hint="eastAsia" w:ascii="宋体" w:hAnsi="宋体" w:cs="宋体"/>
                <w:szCs w:val="21"/>
                <w:lang w:eastAsia="zh-CN"/>
              </w:rPr>
              <w:t>：</w:t>
            </w:r>
            <w:r>
              <w:rPr>
                <w:rFonts w:hint="eastAsia" w:ascii="宋体" w:hAnsi="宋体" w:cs="宋体"/>
                <w:szCs w:val="21"/>
              </w:rPr>
              <w:t>≥140KV</w:t>
            </w:r>
            <w:r>
              <w:rPr>
                <w:rFonts w:hint="eastAsia" w:ascii="宋体" w:hAnsi="宋体" w:cs="宋体"/>
                <w:szCs w:val="21"/>
                <w:lang w:eastAsia="zh-CN"/>
              </w:rPr>
              <w:t>；</w:t>
            </w:r>
            <w:r>
              <w:rPr>
                <w:rFonts w:hint="eastAsia" w:ascii="宋体" w:hAnsi="宋体" w:cs="宋体"/>
                <w:szCs w:val="21"/>
              </w:rPr>
              <w:t>最小X射线球管电压</w:t>
            </w:r>
            <w:r>
              <w:rPr>
                <w:rFonts w:hint="eastAsia" w:ascii="宋体" w:hAnsi="宋体" w:cs="宋体"/>
                <w:szCs w:val="21"/>
                <w:lang w:eastAsia="zh-CN"/>
              </w:rPr>
              <w:t>：</w:t>
            </w:r>
            <w:r>
              <w:rPr>
                <w:rFonts w:hint="eastAsia" w:ascii="宋体" w:hAnsi="宋体" w:cs="宋体"/>
                <w:szCs w:val="21"/>
              </w:rPr>
              <w:t>≤80KV</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★7.7最大扫描视野</w:t>
            </w:r>
            <w:r>
              <w:rPr>
                <w:rFonts w:hint="eastAsia" w:ascii="宋体" w:hAnsi="宋体" w:cs="宋体"/>
                <w:szCs w:val="21"/>
                <w:lang w:eastAsia="zh-CN"/>
              </w:rPr>
              <w:t>：</w:t>
            </w:r>
            <w:r>
              <w:rPr>
                <w:rFonts w:hint="eastAsia" w:ascii="宋体" w:hAnsi="宋体" w:cs="宋体"/>
                <w:szCs w:val="21"/>
              </w:rPr>
              <w:t>≥49cm。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7.8 实现定位影像采集重建，并可在线调整治疗偏差。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7.9 成像方式：支持X光拍片，透视，和容积影像（锥形束CT）模式，四维容积影像模式，自动、半自动图像匹配病人摆位复核功能。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7.10 四维容积数据的采集和在线式重建：依序将每个投影按照时相归类；可对四维容积数据进行采集和在线式重建。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7.11 加速器可自动生成任意角度的DRR图像。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7.12 可在加速器控制台上任意角度拍片，无需提前设置该角度射野。</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7.13 可实时获取KV影像。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7.14 质控设备：有一整套完备的CBCT系统或机载CT图像质量和几何位置质控模体,可以方便地测量CBCT图像或机载CT的灰度分辨率和空间分辨率,以及几何重合度。</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7.15具有定位图象和实际摆位图象的比对功能，通过网络系统进行实际的校准和更正治疗床位置的功能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w:t>
            </w:r>
            <w:r>
              <w:rPr>
                <w:rFonts w:hint="eastAsia" w:ascii="宋体" w:hAnsi="宋体" w:cs="宋体"/>
                <w:szCs w:val="21"/>
                <w:lang w:val="en-US" w:eastAsia="zh-CN"/>
              </w:rPr>
              <w:t xml:space="preserve"> </w:t>
            </w:r>
            <w:r>
              <w:rPr>
                <w:rFonts w:hint="eastAsia" w:ascii="宋体" w:hAnsi="宋体" w:cs="宋体"/>
                <w:szCs w:val="21"/>
              </w:rPr>
              <w:t>EPID系统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8.1硬件要求：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8.1.1图像采集器面积：≥41cm×41cm。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8.1.2图像采集频率：≥5幅/秒。</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8.1.3分辨率：≥1024×1024。</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8.1.4图像灰度分辨率：≥16bit/pixel。</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8.1.5等中心处像素空间分辨率：≤0.4mm×0.4mm。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8.2软件要求：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8.2.1多种图像显示能力：可在实时影像系统的用户界面上同时查看实时成像和对比参考图像（模拟定位图像，或DRR图像）。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8.2.2 MLC显示：可在图像上覆盖显示多叶准直器的照射野形状。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8.2.3定位匹配功能：可对参考图像和实时成像进行照射野边界和解剖结构的定位匹配的检测，并可进行位移的测量，从而确定照射野的摆位误差。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8.2.4具有DICOM-3.0，DICOM-RT网络功能。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8.2.5具备剂量验证功能。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8.2.6 具备EPID设备质控功能。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 xml:space="preserve"> </w:t>
            </w:r>
            <w:r>
              <w:rPr>
                <w:rFonts w:hint="eastAsia" w:ascii="宋体" w:hAnsi="宋体" w:cs="宋体"/>
                <w:szCs w:val="21"/>
              </w:rPr>
              <w:t>旋转容积调强功能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9.1可以对下列因素进行同步控制：机架旋转运动、MLC叶片移动、剂量率变化。</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9.2容积旋转调强治疗时，最大调强照射野：≥30cm×30cm。</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9.3具有专业旋转调强放疗的计算功能。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9.4容积旋转调强治疗模式：能执行单个弧度容积旋转调强的治疗、单轴多弧度容积旋转调强的治疗、非共平面容积旋转调强的治疗。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9.5在使用兼容的记录验证系统时,自动设置所有机械参数和射野参数。</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10具备立体定向放疗功能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11具备呼吸门控治疗系统</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12</w:t>
            </w:r>
            <w:r>
              <w:rPr>
                <w:rFonts w:hint="eastAsia" w:ascii="宋体" w:hAnsi="宋体" w:cs="宋体"/>
                <w:szCs w:val="21"/>
                <w:lang w:val="en-US" w:eastAsia="zh-CN"/>
              </w:rPr>
              <w:t xml:space="preserve"> </w:t>
            </w:r>
            <w:r>
              <w:rPr>
                <w:rFonts w:hint="eastAsia" w:ascii="宋体" w:hAnsi="宋体" w:cs="宋体"/>
                <w:szCs w:val="21"/>
              </w:rPr>
              <w:t>放射治疗计划系统</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12.1投标人必须作为本项目的唯一责任方，对所提供放射治疗计划系统的整体性能、无缝兼容、系统稳定性及售后服务承担全部责任。放射治疗计划系统需为投标人拥有自主知识产权或合法授权的产品，提供软件著作权登记证书或源代码托管协议，若为第三方授权软件，需提交知识产权授权链条文件（从原始开发商至投标人的完整授权协议）</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12.2放射治疗计划和虚拟模拟系统，应支持整个放疗科的病人数据集成。</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12.3具备临床与管理数据库。</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12.4数据库系统：数据库是关系型数据库管理系统，应建立在符合ANSII规定标准的SQL语言上；系统应基于一个综合数据库。</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szCs w:val="21"/>
              </w:rPr>
              <w:t>▲12.5放射治疗计划系统（TPS）工作站数量要求</w:t>
            </w:r>
            <w:r>
              <w:rPr>
                <w:rFonts w:hint="eastAsia" w:ascii="宋体" w:hAnsi="宋体" w:cs="宋体"/>
                <w:color w:val="auto"/>
                <w:szCs w:val="21"/>
              </w:rPr>
              <w:t>：物理师工作站：≥3台；医生工作站：≥6台。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12.6应用要求：TPS系统应在通用用户界面中提供如下功能和应用，用户不必再向其它应用软件或平台导入/导出数据。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12.7器官自动勾画功能：能自动勾画≥80个器官。</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12.8勾画功能：具备感兴趣区域密度重置；基于Dose生成轮廓；基于HU值生成轮廓；支持横断面，冠状面，矢状面，BEV和3D窗口显示患者勾画；支持在4D序列上进行勾画；支持多模态图像融合。</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12.9显示功能：支持基于ROI进行图像配准；DICOM导入导出；DICOM RT接口。</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12.10 DICOM导入导出：CT，MRI，PET，CR，RT Image DICOM标准图像导入；将结构集，计划，剂量文件导出为DICOM文件。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12.11剂量计算与优化：自定义计算网格的范围和大小。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12.12具备快速蒙特卡洛算法。</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12.13具备EUD优化功能。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12.14计划制作与评估：支持添加光子线计划；支持非共面计划设计；支持逆向调强计划设计；支持添加门控计划；支持计划模拟执行。</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12.15计划验证：支持将当前患者的计划数据拷贝到模体中创建验证计划；支持输出验证计划的剂量分布。</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12.16支持自动计划功能进行计划设计和优化。</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 xml:space="preserve">3 </w:t>
            </w:r>
            <w:r>
              <w:rPr>
                <w:rFonts w:hint="eastAsia" w:ascii="宋体" w:hAnsi="宋体" w:cs="宋体"/>
                <w:szCs w:val="21"/>
              </w:rPr>
              <w:t>设备配置清单</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.1直线加速器主机：放射治疗主机1套、电动多叶准直器（MLC）系统1套、EPID系统1套、四维影像引导或机载影像引导1套、治疗技术：三维适</w:t>
            </w:r>
            <w:r>
              <w:rPr>
                <w:rFonts w:hint="eastAsia" w:ascii="宋体" w:hAnsi="宋体" w:cs="宋体"/>
                <w:szCs w:val="21"/>
                <w:lang w:eastAsia="zh-CN"/>
              </w:rPr>
              <w:t>形</w:t>
            </w:r>
            <w:r>
              <w:rPr>
                <w:rFonts w:hint="eastAsia" w:ascii="宋体" w:hAnsi="宋体" w:cs="宋体"/>
                <w:szCs w:val="21"/>
              </w:rPr>
              <w:t>、静态调强、动态调强、动态弧治疗、容积旋转调强治疗VMAT、立体定向放射治疗1套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呼吸门控系统1套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治疗床1套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激光灯1套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（二）肿瘤放射治疗信息管理系统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1系统基本要求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1.1要求能够整合新购治疗设备，统一记录验证与治疗数据统一归档。建立基于电子记录的质量控制及保障体系，能够实现事前预警、事中监控、事后分析等措施。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1.2临床医生通过信息系统可实时掌握放疗资源和放疗实施过程中与病人相关的医嘱，预约，质控，治疗信息，能够定制质控点，质控内容等。</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1.3用户界面为中文。</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1.4知识产权：所有软件具有自主知识产权，并提供相关证明，如果存在知识产权的争议或法律问题均由中标负责人承担。</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2肿瘤信息系统放射治疗支持功能要求</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2.1用户权限要求集中管理。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2.2电子病历软件功能：配备应用软件系统，对病人数据、治疗计划的浏览功能。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2.3病人基础资料管理：实现病人基础ADT数据的录入。</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2.4登记：患者原始数据录入，快速检索患者资料、医嘱、治疗安排等，病人多媒体建档包括二维条码，病人影像资料。</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2.5排程：要求治疗日历模块能自动安排患者治疗时间和治疗模式。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2.6统计：要求具有统计图表绘制功能，自动分析设备、病人和资源的利用情况。</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2.7条码追踪：病人信息条码管理，包括条码生存，读取等。</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2.8治疗技术：提供VMAT、IGRT等高级放疗技术应用支持。</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2.9记录和验证系统可自动记录实际治疗数据。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2.10要求具备自动剂量跟踪功能，自动累计照射剂量，允许定义多个剂量跟踪点。</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2.11可对治疗方案进行QA验证，自动记录结果。</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2.12体模QA验证：体模QA验证，记录分次剂量，但不计入累计剂量。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2.13剂量限制：可对治疗总剂量和治疗次数进行限制。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系统设备整合</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3.1放疗设备连接：要求能够整合用户本次新购置的放疗设备；并支持常用加速器厂家(包括但不限于医科达，瓦里安最新加速器系统，如MR-LA、AXESSE，Infinity、Edge、True beam、uLinac EternaTx、；及TOMO和Cyber Knife等)的参数验证，指示超出误差范围，用户自定义误差范围限制。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3.2支持多叶准直器MLC连接，参数设置、记录、验证。</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3.3二维影像验证：系统支持实时影像验证（EPID）设备集成。</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3.4三维影像验证：系统支持Cone Beam CT设备集成。</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3.5</w:t>
            </w:r>
            <w:r>
              <w:rPr>
                <w:rFonts w:hint="eastAsia" w:ascii="宋体" w:hAnsi="宋体" w:cs="宋体"/>
                <w:szCs w:val="21"/>
                <w:lang w:val="en-US" w:eastAsia="zh-CN"/>
              </w:rPr>
              <w:t xml:space="preserve"> </w:t>
            </w:r>
            <w:r>
              <w:rPr>
                <w:rFonts w:hint="eastAsia" w:ascii="宋体" w:hAnsi="宋体" w:cs="宋体"/>
                <w:szCs w:val="21"/>
              </w:rPr>
              <w:t>IMRT：等中心旋转放疗、非共平面放疗、多叶准直器、不规则照射野、适形放疗、调强放疗等所有外照射放疗的应用。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3.6</w:t>
            </w:r>
            <w:r>
              <w:rPr>
                <w:rFonts w:hint="eastAsia" w:ascii="宋体" w:hAnsi="宋体" w:cs="宋体"/>
                <w:szCs w:val="21"/>
                <w:lang w:val="en-US" w:eastAsia="zh-CN"/>
              </w:rPr>
              <w:t xml:space="preserve"> </w:t>
            </w:r>
            <w:r>
              <w:rPr>
                <w:rFonts w:hint="eastAsia" w:ascii="宋体" w:hAnsi="宋体" w:cs="宋体"/>
                <w:szCs w:val="21"/>
              </w:rPr>
              <w:t>IGRT：系统支持影像引导下的调强放射治疗技术，可实现记录验证以及影像配准和自动摆位功能。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3.7</w:t>
            </w:r>
            <w:r>
              <w:rPr>
                <w:rFonts w:hint="eastAsia" w:ascii="宋体" w:hAnsi="宋体" w:cs="宋体"/>
                <w:szCs w:val="21"/>
                <w:lang w:val="en-US" w:eastAsia="zh-CN"/>
              </w:rPr>
              <w:t xml:space="preserve"> </w:t>
            </w:r>
            <w:r>
              <w:rPr>
                <w:rFonts w:hint="eastAsia" w:ascii="宋体" w:hAnsi="宋体" w:cs="宋体"/>
                <w:szCs w:val="21"/>
              </w:rPr>
              <w:t>VMAT：系统支持旋转弧形调强放射治疗技术。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3.8模拟定位机接入：系统支持将Nucletron、Varian、GE、Phillips、SIEMENS厂家提供的常规、CT、MR模拟机图像传入肿瘤信息系统。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3.9支持治疗计划系统接入功能。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肿瘤放疗信息平台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4.1放疗资源管理：提供≥5个用户软件授权，用于放疗设备，患者治疗等资源安排管理。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4.2放疗实施管理：提供≥5个用户软件授权，用于管理 DICOM RT 计划/图像，快速生成复杂的放疗处方和治疗日程安排；支持治疗验证、查看和分析功能。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4.3放射治疗过程信息流整合：要求实现与医院本次新购置直线加速器的影像、计划、文本、治疗数据等信息流衔接，使网络中的所有放疗设备均能方便地共享数据信息资源。</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4.4放疗影像存储：具备对外部图像、治疗处方、治疗计划、模拟定位、治疗中的DICOM-RT图像的存储功能。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4.5</w:t>
            </w:r>
            <w:r>
              <w:rPr>
                <w:rFonts w:hint="eastAsia" w:ascii="宋体" w:hAnsi="宋体" w:cs="宋体"/>
                <w:szCs w:val="21"/>
                <w:lang w:val="en-US" w:eastAsia="zh-CN"/>
              </w:rPr>
              <w:t xml:space="preserve"> </w:t>
            </w:r>
            <w:r>
              <w:rPr>
                <w:rFonts w:hint="eastAsia" w:ascii="宋体" w:hAnsi="宋体" w:cs="宋体"/>
                <w:szCs w:val="21"/>
              </w:rPr>
              <w:t>DICOM-RT支持：支持患者相关标准DICOM-RT图像存储。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4.6三维影像管理：所有IGRT设备摆位验证图像，配准图像统一管理。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4.7二维影像管理：可存储和访问由虚拟模拟定位系统生成的DRR和Portal Image图像。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4.8支持不同厂家治疗计划系统，以DICOM RT格式传输治疗计划数据。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4.9网络系统软件的外部图像输入/输出接口能力。</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科室管理报表统计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5.1帮助分析科室工作效率，包括设备工作量统计、人员工作量统计、病人量统计等各类型统计报告。</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5.2可根据用户要求，个性化定制各类型统计报表。</w:t>
            </w:r>
          </w:p>
          <w:p>
            <w:pPr>
              <w:numPr>
                <w:ilvl w:val="0"/>
                <w:numId w:val="0"/>
              </w:numPr>
              <w:spacing w:line="240" w:lineRule="auto"/>
              <w:textAlignment w:val="auto"/>
              <w:rPr>
                <w:rFonts w:hint="eastAsia" w:ascii="宋体" w:hAnsi="宋体" w:cs="宋体"/>
                <w:szCs w:val="21"/>
              </w:rPr>
            </w:pPr>
            <w:r>
              <w:rPr>
                <w:rFonts w:hint="eastAsia" w:ascii="宋体" w:hAnsi="宋体" w:cs="宋体"/>
                <w:szCs w:val="21"/>
                <w:lang w:val="en-US" w:eastAsia="zh-CN"/>
              </w:rPr>
              <w:t xml:space="preserve">6 </w:t>
            </w:r>
            <w:r>
              <w:rPr>
                <w:rFonts w:hint="eastAsia" w:ascii="宋体" w:hAnsi="宋体" w:cs="宋体"/>
                <w:szCs w:val="21"/>
              </w:rPr>
              <w:t>硬件平台技术要求</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.1数据库服务器</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.1.1中央处理器：英特尔至强六核处理器或同等级以上。</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 xml:space="preserve">.1.2 </w:t>
            </w:r>
            <w:r>
              <w:rPr>
                <w:rFonts w:hint="eastAsia" w:ascii="宋体" w:hAnsi="宋体" w:cs="宋体"/>
                <w:color w:val="auto"/>
                <w:szCs w:val="21"/>
                <w:lang w:eastAsia="zh-CN"/>
              </w:rPr>
              <w:t>内存：</w:t>
            </w:r>
            <w:r>
              <w:rPr>
                <w:rFonts w:hint="eastAsia" w:ascii="宋体" w:hAnsi="宋体" w:cs="宋体"/>
                <w:color w:val="auto"/>
                <w:szCs w:val="21"/>
              </w:rPr>
              <w:t>≥16GB</w:t>
            </w:r>
            <w:r>
              <w:rPr>
                <w:rFonts w:hint="eastAsia" w:ascii="宋体" w:hAnsi="宋体" w:cs="宋体"/>
                <w:color w:val="auto"/>
                <w:szCs w:val="21"/>
                <w:lang w:eastAsia="zh-CN"/>
              </w:rPr>
              <w:t>，</w:t>
            </w:r>
            <w:r>
              <w:rPr>
                <w:rFonts w:hint="eastAsia" w:ascii="宋体" w:hAnsi="宋体" w:cs="宋体"/>
                <w:color w:val="auto"/>
                <w:szCs w:val="21"/>
              </w:rPr>
              <w:t>DDR4内存。</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.1.3硬盘</w:t>
            </w:r>
            <w:r>
              <w:rPr>
                <w:rFonts w:hint="eastAsia" w:ascii="宋体" w:hAnsi="宋体" w:cs="宋体"/>
                <w:color w:val="auto"/>
                <w:szCs w:val="21"/>
                <w:lang w:eastAsia="zh-CN"/>
              </w:rPr>
              <w:t>：</w:t>
            </w:r>
            <w:r>
              <w:rPr>
                <w:rFonts w:hint="eastAsia" w:ascii="宋体" w:hAnsi="宋体" w:cs="宋体"/>
                <w:color w:val="auto"/>
                <w:szCs w:val="21"/>
              </w:rPr>
              <w:t>≥5×600GB</w:t>
            </w:r>
            <w:r>
              <w:rPr>
                <w:rFonts w:hint="eastAsia" w:ascii="宋体" w:hAnsi="宋体" w:cs="宋体"/>
                <w:color w:val="auto"/>
                <w:szCs w:val="21"/>
                <w:lang w:eastAsia="zh-CN"/>
              </w:rPr>
              <w:t>，</w:t>
            </w:r>
            <w:r>
              <w:rPr>
                <w:rFonts w:hint="eastAsia" w:ascii="宋体" w:hAnsi="宋体" w:cs="宋体"/>
                <w:color w:val="auto"/>
                <w:szCs w:val="21"/>
              </w:rPr>
              <w:t>6G SAS 10K rpm SFF（磁盘阵列）。</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.1.4网络适配器：千兆网络适配器端口。</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.1.5操作系统：≥Windows 201</w:t>
            </w:r>
            <w:r>
              <w:rPr>
                <w:rFonts w:hint="eastAsia" w:ascii="宋体" w:hAnsi="宋体" w:cs="宋体"/>
                <w:color w:val="auto"/>
                <w:szCs w:val="21"/>
                <w:lang w:val="en-US" w:eastAsia="zh-CN"/>
              </w:rPr>
              <w:t>9</w:t>
            </w:r>
            <w:r>
              <w:rPr>
                <w:rFonts w:hint="eastAsia" w:ascii="宋体" w:hAnsi="宋体" w:cs="宋体"/>
                <w:color w:val="auto"/>
                <w:szCs w:val="21"/>
              </w:rPr>
              <w:t xml:space="preserve"> Server 企业版64位或同等级及以上。</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.1.6数据库</w:t>
            </w:r>
            <w:r>
              <w:rPr>
                <w:rFonts w:hint="eastAsia" w:ascii="宋体" w:hAnsi="宋体" w:cs="宋体"/>
                <w:color w:val="auto"/>
                <w:szCs w:val="21"/>
                <w:lang w:eastAsia="zh-CN"/>
              </w:rPr>
              <w:t>：</w:t>
            </w:r>
            <w:r>
              <w:rPr>
                <w:rFonts w:hint="eastAsia" w:ascii="宋体" w:hAnsi="宋体" w:cs="宋体"/>
                <w:color w:val="auto"/>
                <w:szCs w:val="21"/>
              </w:rPr>
              <w:t>≥SQL Server 201</w:t>
            </w:r>
            <w:r>
              <w:rPr>
                <w:rFonts w:hint="eastAsia" w:ascii="宋体" w:hAnsi="宋体" w:cs="宋体"/>
                <w:color w:val="auto"/>
                <w:szCs w:val="21"/>
                <w:lang w:val="en-US" w:eastAsia="zh-CN"/>
              </w:rPr>
              <w:t>9</w:t>
            </w:r>
            <w:r>
              <w:rPr>
                <w:rFonts w:hint="eastAsia" w:ascii="宋体" w:hAnsi="宋体" w:cs="宋体"/>
                <w:color w:val="auto"/>
                <w:szCs w:val="21"/>
              </w:rPr>
              <w:t>标准版。</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.1.7提供三年7×24保修服务。</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.2放疗网络工作站</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.2.1 内存</w:t>
            </w:r>
            <w:r>
              <w:rPr>
                <w:rFonts w:hint="eastAsia" w:ascii="宋体" w:hAnsi="宋体" w:cs="宋体"/>
                <w:color w:val="auto"/>
                <w:szCs w:val="21"/>
                <w:lang w:eastAsia="zh-CN"/>
              </w:rPr>
              <w:t>：</w:t>
            </w:r>
            <w:r>
              <w:rPr>
                <w:rFonts w:hint="eastAsia" w:ascii="宋体" w:hAnsi="宋体" w:cs="宋体"/>
                <w:color w:val="auto"/>
                <w:szCs w:val="21"/>
              </w:rPr>
              <w:t>≥8GB 。</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.2.2 硬盘</w:t>
            </w:r>
            <w:r>
              <w:rPr>
                <w:rFonts w:hint="eastAsia" w:ascii="宋体" w:hAnsi="宋体" w:cs="宋体"/>
                <w:color w:val="auto"/>
                <w:szCs w:val="21"/>
                <w:lang w:eastAsia="zh-CN"/>
              </w:rPr>
              <w:t>：</w:t>
            </w:r>
            <w:r>
              <w:rPr>
                <w:rFonts w:hint="eastAsia" w:ascii="宋体" w:hAnsi="宋体" w:cs="宋体"/>
                <w:color w:val="auto"/>
                <w:szCs w:val="21"/>
              </w:rPr>
              <w:t>≥1T SATA。</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.2.3 操作系统</w:t>
            </w:r>
            <w:r>
              <w:rPr>
                <w:rFonts w:hint="eastAsia" w:ascii="宋体" w:hAnsi="宋体" w:cs="宋体"/>
                <w:color w:val="auto"/>
                <w:szCs w:val="21"/>
                <w:lang w:eastAsia="zh-CN"/>
              </w:rPr>
              <w:t>：</w:t>
            </w:r>
            <w:r>
              <w:rPr>
                <w:rFonts w:hint="eastAsia" w:ascii="宋体" w:hAnsi="宋体" w:cs="宋体"/>
                <w:color w:val="auto"/>
                <w:szCs w:val="21"/>
              </w:rPr>
              <w:t>≥Windows 10。</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.2.4 LCD显示器</w:t>
            </w:r>
            <w:r>
              <w:rPr>
                <w:rFonts w:hint="eastAsia" w:ascii="宋体" w:hAnsi="宋体" w:cs="宋体"/>
                <w:color w:val="auto"/>
                <w:szCs w:val="21"/>
                <w:lang w:eastAsia="zh-CN"/>
              </w:rPr>
              <w:t>：</w:t>
            </w:r>
            <w:r>
              <w:rPr>
                <w:rFonts w:hint="eastAsia" w:ascii="宋体" w:hAnsi="宋体" w:cs="宋体"/>
                <w:color w:val="auto"/>
                <w:szCs w:val="21"/>
              </w:rPr>
              <w:t>≥24英寸。</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szCs w:val="21"/>
              </w:rPr>
              <w:t>▲</w:t>
            </w:r>
            <w:r>
              <w:rPr>
                <w:rFonts w:hint="eastAsia" w:ascii="宋体" w:hAnsi="宋体" w:cs="宋体"/>
                <w:color w:val="auto"/>
                <w:szCs w:val="21"/>
                <w:lang w:val="en-US" w:eastAsia="zh-CN"/>
              </w:rPr>
              <w:t>7</w:t>
            </w:r>
            <w:r>
              <w:rPr>
                <w:rFonts w:hint="eastAsia" w:ascii="宋体" w:hAnsi="宋体" w:cs="宋体"/>
                <w:color w:val="auto"/>
                <w:szCs w:val="21"/>
              </w:rPr>
              <w:t>配置清单</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.1肿瘤放射治疗信息管理系统1套</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.2放疗网</w:t>
            </w:r>
            <w:r>
              <w:rPr>
                <w:rFonts w:hint="eastAsia" w:ascii="宋体" w:hAnsi="宋体" w:cs="宋体"/>
                <w:color w:val="auto"/>
                <w:szCs w:val="21"/>
                <w:lang w:eastAsia="zh-CN"/>
              </w:rPr>
              <w:t>络</w:t>
            </w:r>
            <w:r>
              <w:rPr>
                <w:rFonts w:hint="eastAsia" w:ascii="宋体" w:hAnsi="宋体" w:cs="宋体"/>
                <w:color w:val="auto"/>
                <w:szCs w:val="21"/>
              </w:rPr>
              <w:t>工作站≥5套</w:t>
            </w:r>
          </w:p>
          <w:p>
            <w:pPr>
              <w:numPr>
                <w:ilvl w:val="0"/>
                <w:numId w:val="0"/>
              </w:numPr>
              <w:spacing w:line="240" w:lineRule="auto"/>
              <w:textAlignment w:val="auto"/>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.3数据库服务器1套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.4控制台1套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三、项目配套第三方设备技术参数及配置清单：</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（一）放疗流程管理系统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1放疗流程管理系统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1.1系统需采用 B/S技术架构，支持利用chrome</w:t>
            </w:r>
            <w:r>
              <w:rPr>
                <w:rFonts w:hint="eastAsia" w:ascii="宋体" w:hAnsi="宋体" w:cs="宋体"/>
                <w:szCs w:val="21"/>
                <w:lang w:val="en-US" w:eastAsia="zh-CN"/>
              </w:rPr>
              <w:t>/</w:t>
            </w:r>
            <w:r>
              <w:rPr>
                <w:rFonts w:hint="eastAsia" w:ascii="宋体" w:hAnsi="宋体" w:cs="宋体"/>
                <w:szCs w:val="21"/>
              </w:rPr>
              <w:t>firefox</w:t>
            </w:r>
            <w:r>
              <w:rPr>
                <w:rFonts w:hint="eastAsia" w:ascii="宋体" w:hAnsi="宋体" w:cs="宋体"/>
                <w:szCs w:val="21"/>
                <w:lang w:val="en-US" w:eastAsia="zh-CN"/>
              </w:rPr>
              <w:t>/</w:t>
            </w:r>
            <w:r>
              <w:rPr>
                <w:rFonts w:hint="eastAsia" w:ascii="宋体" w:hAnsi="宋体" w:cs="宋体"/>
                <w:szCs w:val="21"/>
              </w:rPr>
              <w:t>edge等网页浏览器进行系统访问和放疗信息管理。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2放疗系统集成</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2.1提供DICOM / DICOM RT数据文件接收和发送接口，支持接收CT、TPS等设备发送过来CT图像、放疗结构靶区、放疗计划等数据文件。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2.2支持正确显示和查阅CT图像、靶区结构轮廓、放疗剂量分布和DVH曲线分布情况。</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3放疗无纸化办公</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3.1提供覆盖全放疗流程的整套电子表单，单据类型和内容可根据医院放疗流程管理实际情况进行增加或修改。</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3.2提供放疗电子单据编写模块，支持放疗医生在线填写放疗模拟定位申请单、放疗计划设计申请单、放射治疗处方单等放疗任务申请电子单据。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3.3支持物理师、定位技师、治疗技师在线查看医生填写的申请单据，支持在线详细记录申请单据对应任务的执行情况。</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3.4提供知情同意书、放疗小结等医疗文书模版并可根据需要提供添加、改进功能。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3.5各环节提供典型模版，并能进行个性化定制修改及保存。</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3.6支持将疾病描述、ICD编码、肿瘤分期、肿瘤大小、诊断医生等患者肿瘤病情的诊断意见通过我院现有HIS系统导入到该系统，支持将会诊人员、会诊地点、会诊意见等患者肿瘤病情的多学科会诊意见录入到系统。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3.7支持TNM肿瘤分期分类标记，支持按照TNM分期对病案进行分类管理，提供肿瘤分期知识库，支持选择不同肿瘤病种，自动显示对应的肿瘤分期标准，支持输入TNM分期，自动生成肿瘤临床分期。</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3.8支持多字段大表单登记，支持拍摄患者头像，登记患者头像信息，支持智能登记，身份证信息自动识别并自动完成录入，自动采集患者身份证号、姓名、性别、出生日期、籍贯、住址和头像等信息，医嘱同步共用，支持与放疗网络系统、HIS等系统对接，快速导入已有患者数据</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4放疗日程管理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4.1支持对分次治疗任务预约放疗日程，支持通过日历视图查看放疗加速器的日程预约情况和空位情况。</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4.2支持对放疗日程进行变更，支持对单个患者的日程进行自动变更，支持对加速器指定日期的所有日程进行整体变更。</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4.3支持单个患者的定位日程或治疗日程进行未照重排和过期重排，支持单个日程快速变更，支持过期日程一键自动重排。</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4.4支持为多程计划预约治疗日程，支持为放疗计划预约加照日程，支持暂停、恢复、或终止已预约日程。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4.5支持设定首次治疗日程的日期和时间后，自动安排后续所有分次的治疗日程。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4.6支持自动规避节假日和非空位，支持通过日程变更将日程插入到节假日或非空位。</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4.7支持放疗患者多个同照计划的治疗日程自动合并。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5模拟定位管理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5.1提供放疗定位记录电子单据，支持在线详细记录患者模拟定位的具体执行情况。</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5.2支持将模拟定位CT图像与CT电子记录单进行关联和归档。</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▲5.3支持定位单选择和显示体位示意图，支持在体位示意图上标记靶区所在位置，并支持修改标记信息。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6放疗结构勾画</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6.1支持自动完成放疗结构勾画，并能将勾画完成的结构轮廓自动发动到TPS治疗计划系统。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6.2支持创建靶区勾画任务，并自动提醒定位申请医生及时完成靶区勾画。</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6.3提供画笔、画刷等勾画工具，支持在 CT/MR/PET 断层影像上自动或手动勾画结构轮廓。</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6.4支持空间分割放疗Lattice自动布球，支持设定Lattice布球规则，支持设置球体直径、球间距，球与靶区轮廓边界的距离，支持布球自动规避指定的危及器官，支持设定球与需规避器官轮廓之间的距离。</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6.5支持通过矩形框批量框选结构轮廓，支持一键删除指定区域内的框选的结构轮廓线。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7计划设计管理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7.1支持按物理师工作负荷情况，自动将计划设计任务分派给各物理师。</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7.2支持物理师领取计划设计任务，支持重新分派已领取的计划设计任务。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7.3支持根据放疗医生开具的放疗计划设计申请单为物理师分配计划设计任务。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7.4提供放疗计划审核和复核功能，支持由放疗物理师和放疗医师对放疗计划进行审核和复核，对审核不通过的，应能自动驳回到上一环节，并自动通知负责物理师重新设计。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7.5支持创建计划记录单，支持将TPS输出的放疗计划和pdf报告与计划设计任务关联。</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8放射治疗管理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8.1支持放疗病人身份信息核对，支持对放疗计划信息进行审核，并详细记录审核结果。</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8.2支持自动获取加速器的射束治疗记录和IGRT设备的摆位偏差数值。</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8.3支持为补照计划自动追加治疗日程，支持自动合并多个同照计划的治疗日程。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9放疗质控管理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9.1支持计划剂量验证管理，支持创建剂量验证申请单，支持预约剂量验证日程，支持创建剂量验证剂量单，支持关联剂量文件和剂量验证报告。</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9.2提供包括AAPM TG142/TG148和国家标准等在内的QA项目、QA方法、QA检查记录等，包括常规直线加速器、定位CT及QA产品的QA记录。</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10数据统计分析</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10.1支持统计分析科室的收费效益、设备工作量、人员工作量等，支持按照治疗技术、疾病分类、癌症分期分类统计病人收治量，并形成统计图表。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10.2提供统计报表定制开发服务，支持根据用户提出的统计要求，定制新的统计报表。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11治疗评估管理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11.1支持对肿瘤患者进行放疗中期和末次放疗后风险评估，评估内容包括但不限于血相、恶心呕吐、放射性皮炎、胃肠反应、神经系统反应等。</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11.2提供放疗副反应分级标准本地知识库，方便在病人出现的放射性损伤时进行副反应评估和确定损伤程度。</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12放疗知识库管理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12.1提供可快捷查询和及时更新的肿瘤分期标准、权威指南等放疗相关知识数据库；</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12.2支持根据临床诊断及分期信息提供合理的可供选择的指南信息。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13放疗流程管理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13.1支持通过流程图管理放疗任务的执行进展情况，任务的每个执行步骤对应流程图中的一个节点，每个节点包括任务的执行状态、发起人、发起时间或执行人、执行时间等关键信息。</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13.2支持并行流程管理，多人并行执行任务，可生成并行分支节点。</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13.3支持放疗任务超时提醒，任务超时未完成时，应在流程图中使用醒目标记提醒任务已超时。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14定制服务</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14.1支持各种电子化表单、单据模板定制开发，支持对各放疗任务的工作流进行定制化开发，支持对各类型统计报表进行定制化开发。</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14.2支持全面的放疗流程管理，涵盖从放疗信息登记、模拟定位、靶区勾画、计划设计、计划验证、治疗实施、随访管理等所有环节，提供放疗流程引擎，可根据放疗灵活定制工作流程。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（二）放射剂量叠加评价软件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1放射剂量叠加评价软件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1.1提供统一的管理后台，支持对CT、RTSTRUCT、RTPLAN、RTDOSE等各类医学影像数据和放疗病案数据统一分类存储；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提供病人病案数据查看图像界面，支持用树状目录结构显示病案数据，支持病人图像数据、结构数据、计划数据、剂量数据的树状管理。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1.2支持显示轴位、冠状位、矢状位图像，支持轴位、冠状位、矢状位等不同方位平面的浏览；</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提供图像、结构及剂量显示功能，支持不同平面的图像、结构、剂量组合显示和交互；</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支持图像信息角标显示，支持角标自定义。</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1.3提供图像测量工具，支持图像平面上的测量；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提供图像点值测量、距离测量、角度测量工具；</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提供图像区域面积、最大最小值、平均值、标准差的测量。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1.4提供图像操作交互功能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提供图像调窗、平移、缩放、十字线等交互功能；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提供鼠标双击、滚轮缩放等快捷交互功能。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1.5提供DICOM文件收发与导入导出功能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支持接收和发送符合DICOM标准格式的病案文件；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支持将导入的DICOM文件按CT、结构、计划、剂量等类别进行分类；</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支持通过DICOM发送到指定DICOM接收端，同时还支持将DICOM文件导出到指定的本地目录。</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1.6提供NII数据格式支持</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支持将DICOM格式的CT图像转换为NII格式进行存储；</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支持NII格式图像数据加载显示。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1.7支持体绘制，可以对CT、MR等断层影像进行三维体绘制。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支持多种三维体绘制模板选择，支持主动脉、肺纹理体绘制模板。</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1.8支持以结构集列表形式显示所有勾画的结构；</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支持ROI结构的显示和隐藏；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提供修改ROI颜色属性的功能，并支持将修改后的结构颜色更新到图形界面。</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1.9支持单个图像序列下多个计划物理剂量的叠加计算。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1.10支持不同图像序列下多个计划物理剂量的叠加计算；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基于刚性配准的不同图像序列下多个计划物理剂量的叠加计算；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基于形变配准的不同图像序列下多个计划物理剂量的叠加计算。</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1.11提供剂量体积直方图DVH的计算功能；</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支持生成和显示叠加前后的物理剂量DVH图；</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支持生成和显示叠加前后的生物剂量DVH图。</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1.12支持自动计算图像弹性形变场并实现图像自动配准；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支持利用形变场，自动实现结构轮廓自动配准；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支持利用形变场，将剂量分布自动配准到配准图像。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1.13支持剂量线、剂量云、点剂量等不同显示方式；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支持修改和更新等剂量线和剂量云的颜色、剂量值等参数；</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支持显示DVH；</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支持显示物理剂量和生物剂量。</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2工作站</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2.1作站电脑配置需至少满足同档次或以上：CPU：Intel i7、内存：32GB、硬盘：256GB SSD + 1TB机械盘、显卡：Nvidia, 4GB显存、网卡：千兆速度以太网卡、显示器：LED，分辨率 &gt;= 1900×1080</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（三）小野立体定向验证系统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1小野立体定向验证系统</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1.1阵列</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1.1.1探头类型：适用于辐射剂量测量的电离室</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1.1.2探头数量：≥1500个</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1.1.3探头分布区域：≥15×15</w:t>
            </w:r>
            <w:r>
              <w:rPr>
                <w:rFonts w:hint="eastAsia" w:ascii="宋体" w:hAnsi="宋体" w:eastAsia="宋体" w:cs="宋体"/>
                <w:szCs w:val="21"/>
              </w:rPr>
              <w:t>cm²</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1.1.4探头最小间距：≤2.5mm</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1.1.5探头尺寸大小：≤0.5mm×2.5mm×2.5mm</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1.1.6探头有效体积：≤0.003cm³</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1.1.7重复性：≤0.5%，据IEC60731</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1.1.8</w:t>
            </w:r>
            <w:r>
              <w:rPr>
                <w:rFonts w:hint="eastAsia" w:ascii="宋体" w:hAnsi="宋体" w:cs="宋体"/>
                <w:color w:val="auto"/>
                <w:szCs w:val="21"/>
              </w:rPr>
              <w:t>死时间：无</w:t>
            </w:r>
            <w:r>
              <w:rPr>
                <w:rFonts w:hint="eastAsia" w:ascii="宋体" w:hAnsi="宋体" w:cs="宋体"/>
                <w:color w:val="auto"/>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▲1.1.9长期稳定性：≤±1%/年</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1.1.10剂量和剂量率非线性：≤±0.5%，据IEC60731</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1.1.11方向性响应（在圆柱形模体内）：＜0.5%（±10°）</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1.1.12阵列外围尺寸：≥22mm×300mm×420mm</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1.1.13有效测量点位置：表面下9.0mm</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1.1.14使用能量范围：60Co-25MV</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1.1.15电器元件和控制器分离</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1.1.16二次测量射野尺寸≥28×15</w:t>
            </w:r>
            <w:r>
              <w:rPr>
                <w:rFonts w:hint="eastAsia" w:ascii="宋体" w:hAnsi="宋体" w:eastAsia="宋体" w:cs="宋体"/>
                <w:szCs w:val="21"/>
              </w:rPr>
              <w:t>cm²</w:t>
            </w:r>
            <w:r>
              <w:rPr>
                <w:rFonts w:hint="eastAsia" w:ascii="宋体" w:hAnsi="宋体" w:cs="宋体"/>
                <w:szCs w:val="21"/>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w:t>
            </w:r>
            <w:r>
              <w:rPr>
                <w:rFonts w:hint="eastAsia" w:ascii="宋体" w:hAnsi="宋体" w:cs="宋体"/>
                <w:szCs w:val="21"/>
                <w:lang w:val="en-US" w:eastAsia="zh-CN"/>
              </w:rPr>
              <w:t>7</w:t>
            </w:r>
            <w:r>
              <w:rPr>
                <w:rFonts w:hint="eastAsia" w:ascii="宋体" w:hAnsi="宋体" w:cs="宋体"/>
                <w:szCs w:val="21"/>
              </w:rPr>
              <w:t>配蓝牙倾角仪，实时感知机架角度，并同步传输至控制单元</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1.1.1</w:t>
            </w:r>
            <w:r>
              <w:rPr>
                <w:rFonts w:hint="eastAsia" w:ascii="宋体" w:hAnsi="宋体" w:cs="宋体"/>
                <w:szCs w:val="21"/>
                <w:lang w:val="en-US" w:eastAsia="zh-CN"/>
              </w:rPr>
              <w:t>8</w:t>
            </w:r>
            <w:r>
              <w:rPr>
                <w:rFonts w:hint="eastAsia" w:ascii="宋体" w:hAnsi="宋体" w:cs="宋体"/>
                <w:szCs w:val="21"/>
              </w:rPr>
              <w:t>旋转模体和射线束保持垂直，和大机架一起旋转，转换到全体积测量</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19</w:t>
            </w:r>
            <w:r>
              <w:rPr>
                <w:rFonts w:hint="eastAsia" w:ascii="宋体" w:hAnsi="宋体" w:cs="宋体"/>
                <w:szCs w:val="21"/>
              </w:rPr>
              <w:t>均整性与对称性：可获取射野均整性与对称性数据</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QA软件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2.1软件</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2.1.1用途：SBRT患者计划验证分析</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2.2基本功能</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2.2.1自动图像显示：简洁直观的显示方式，导入数据后可自动根据当前设置条件进行比对分析</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2.2.2软件授权：无数量限制</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2.3显示</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2.3.1结果显示：结果可以不同底色显示，代表比对结果的通过与否。</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2.4验证和分析的基本功能</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2.4.1结果比对功能：可显示不通过的点的位置，冷点或者热点，并且显示出此点通过所需要的条件</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2.5高级功能</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2.5.1矩阵叠加：可将矩阵测量点覆盖在测量的2D平面剂量图上，显示矩阵与测量平面剂量图的相对位置</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2.5.2自动配准：可自动找到TPS和测量剂量图中心点，并将其配准重合。无需手动移动剂量图</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2.5.3批量处理：可预先设置处理方式，对所导入的数据自动进行相应处理。</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w:t>
            </w:r>
            <w:r>
              <w:rPr>
                <w:rFonts w:hint="eastAsia" w:ascii="宋体" w:hAnsi="宋体" w:cs="宋体"/>
                <w:szCs w:val="21"/>
                <w:lang w:val="en-US" w:eastAsia="zh-CN"/>
              </w:rPr>
              <w:t xml:space="preserve"> </w:t>
            </w:r>
            <w:r>
              <w:rPr>
                <w:rFonts w:hint="eastAsia" w:ascii="宋体" w:hAnsi="宋体" w:cs="宋体"/>
                <w:szCs w:val="21"/>
              </w:rPr>
              <w:t>LINAC QA</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2.6.1用途：加速器的长期稳定性检测。</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2.6.2数据采集：通过采集的数据可获得加速器的TG、LR、对角线的均整性、对称性，射野大小，中心点偏移，左右半影等数据，与三维水箱采集数据基本一致。</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2.6.3分析协议：含有多个国际标准分析协议和多个知名加速器厂家分析协议，并且含有Varian和Elekta加速器的FFF数据分析协议。</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2.6.4测量回放：可将测量过程中曲线的动态图像存为视频，并可反复观看，以观察加速器在出束过程中的状态。</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3旋转单元</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3.1旋转范围：≥360°</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3.2精度：≤±1°</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（四）绝对剂量仪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1剂量仪</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1.1应用范围：放射治疗和后装治疗和放射诊断中的剂量与剂量率的测量以及电量与电流测量</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2技术参数：</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2.1符合如下国际标准：IEC 60731 标准的放射治疗剂量计、 IEC 62467-1 标准中的近距离治疗剂量计、 IEC 61674 标准的放射诊断剂量计</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2.2长期稳定性</w:t>
            </w:r>
            <w:r>
              <w:rPr>
                <w:rFonts w:hint="eastAsia" w:ascii="宋体" w:hAnsi="宋体" w:cs="宋体"/>
                <w:szCs w:val="21"/>
                <w:lang w:eastAsia="zh-CN"/>
              </w:rPr>
              <w:t>：</w:t>
            </w:r>
            <w:r>
              <w:rPr>
                <w:rFonts w:hint="eastAsia" w:ascii="宋体" w:hAnsi="宋体" w:cs="宋体"/>
                <w:szCs w:val="21"/>
              </w:rPr>
              <w:t>≤ ±0.1%/年</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2.3量程：电流 400fA – 2.6μA 、电荷 4pC – 9.3C</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2.4探测器库：≥100组探测器数据</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2.5历史数据储存：≥50组数据，可自动对数据进行运算，求平均偏差</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3测量量：≥9种：电荷Q（C）；水中吸收剂量Dw，（Gy）；空气比释动能KA, (Gy)；照射量Js（R）；光子当量剂量Hx（Sv）；环境当量剂量H*（10）（Sv）；活度A（Bq，Ci）；空气比释动能强度KA(Gy</w:t>
            </w:r>
            <w:r>
              <w:rPr>
                <w:rFonts w:hint="eastAsia" w:ascii="宋体" w:hAnsi="宋体" w:cs="宋体"/>
                <w:szCs w:val="21"/>
                <w:lang w:val="en-US" w:eastAsia="zh-CN"/>
              </w:rPr>
              <w:t>·</w:t>
            </w:r>
            <w:r>
              <w:rPr>
                <w:rFonts w:hint="eastAsia" w:ascii="宋体" w:hAnsi="宋体" w:cs="宋体"/>
                <w:szCs w:val="21"/>
              </w:rPr>
              <w:t>m²/h, R</w:t>
            </w:r>
            <w:r>
              <w:rPr>
                <w:rFonts w:hint="eastAsia" w:ascii="宋体" w:hAnsi="宋体" w:cs="宋体"/>
                <w:szCs w:val="21"/>
                <w:lang w:val="en-US" w:eastAsia="zh-CN"/>
              </w:rPr>
              <w:t>·</w:t>
            </w:r>
            <w:r>
              <w:rPr>
                <w:rFonts w:hint="eastAsia" w:ascii="宋体" w:hAnsi="宋体" w:cs="宋体"/>
                <w:szCs w:val="21"/>
              </w:rPr>
              <w:t>m²/h）；</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剂量长度乘积DLP(Gy</w:t>
            </w:r>
            <w:r>
              <w:rPr>
                <w:rFonts w:hint="eastAsia" w:ascii="宋体" w:hAnsi="宋体" w:cs="宋体"/>
                <w:szCs w:val="21"/>
                <w:lang w:val="en-US" w:eastAsia="zh-CN"/>
              </w:rPr>
              <w:t>·</w:t>
            </w:r>
            <w:r>
              <w:rPr>
                <w:rFonts w:hint="eastAsia" w:ascii="宋体" w:hAnsi="宋体" w:cs="宋体"/>
                <w:szCs w:val="21"/>
              </w:rPr>
              <w:t>m, R</w:t>
            </w:r>
            <w:r>
              <w:rPr>
                <w:rFonts w:hint="eastAsia" w:ascii="宋体" w:hAnsi="宋体" w:cs="宋体"/>
                <w:szCs w:val="21"/>
                <w:lang w:val="en-US" w:eastAsia="zh-CN"/>
              </w:rPr>
              <w:t>·</w:t>
            </w:r>
            <w:r>
              <w:rPr>
                <w:rFonts w:hint="eastAsia" w:ascii="宋体" w:hAnsi="宋体" w:cs="宋体"/>
                <w:szCs w:val="21"/>
              </w:rPr>
              <w:t>m, Gy</w:t>
            </w:r>
            <w:r>
              <w:rPr>
                <w:rFonts w:hint="eastAsia" w:ascii="宋体" w:hAnsi="宋体" w:cs="宋体"/>
                <w:szCs w:val="21"/>
                <w:lang w:val="en-US" w:eastAsia="zh-CN"/>
              </w:rPr>
              <w:t>·</w:t>
            </w:r>
            <w:r>
              <w:rPr>
                <w:rFonts w:hint="eastAsia" w:ascii="宋体" w:hAnsi="宋体" w:cs="宋体"/>
                <w:szCs w:val="21"/>
              </w:rPr>
              <w:t>cm, R</w:t>
            </w:r>
            <w:r>
              <w:rPr>
                <w:rFonts w:hint="eastAsia" w:ascii="宋体" w:hAnsi="宋体" w:cs="宋体"/>
                <w:szCs w:val="21"/>
                <w:lang w:val="en-US" w:eastAsia="zh-CN"/>
              </w:rPr>
              <w:t>·</w:t>
            </w:r>
            <w:r>
              <w:rPr>
                <w:rFonts w:hint="eastAsia" w:ascii="宋体" w:hAnsi="宋体" w:cs="宋体"/>
                <w:szCs w:val="21"/>
              </w:rPr>
              <w:t xml:space="preserve">cm) </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4操作：</w:t>
            </w:r>
          </w:p>
          <w:p>
            <w:pPr>
              <w:numPr>
                <w:ilvl w:val="0"/>
                <w:numId w:val="0"/>
              </w:numPr>
              <w:spacing w:line="240" w:lineRule="auto"/>
              <w:textAlignment w:val="auto"/>
              <w:rPr>
                <w:rFonts w:hint="eastAsia" w:ascii="宋体" w:hAnsi="宋体" w:eastAsia="宋体" w:cs="宋体"/>
                <w:szCs w:val="21"/>
                <w:lang w:val="en-US" w:eastAsia="zh-CN"/>
              </w:rPr>
            </w:pPr>
            <w:r>
              <w:rPr>
                <w:rFonts w:hint="eastAsia" w:ascii="宋体" w:hAnsi="宋体" w:cs="宋体"/>
                <w:szCs w:val="21"/>
              </w:rPr>
              <w:t>4.1语言至少包含：中文及英文</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4.2操作模式：触屏操作</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4.3数据计算：求平均值；求标准偏差</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4.4可以在剂量仪上直接添加探测器，无需连接电脑或其他智能设备。</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（五）晨检仪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1晨检仪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1.1用途：直线加速器的QA测量和稳定性检测工具；中心轴剂量、均整性、楔形角、对称性和射线质的稳定性检测等。</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2探头类型：电离室探头</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3探头数量：≥13个通气型电离室探头</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 xml:space="preserve">4探头分布范围：≥20×20 </w:t>
            </w:r>
            <w:r>
              <w:rPr>
                <w:rFonts w:hint="eastAsia" w:ascii="宋体" w:hAnsi="宋体" w:eastAsia="宋体" w:cs="宋体"/>
                <w:szCs w:val="21"/>
              </w:rPr>
              <w:t>cm²</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5测量电离室体积：≤0.1cm³；能量电离室体积：≤0.2cm³</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 xml:space="preserve">6照射野大小：可测量(10×10) </w:t>
            </w:r>
            <w:r>
              <w:rPr>
                <w:rFonts w:hint="eastAsia" w:ascii="宋体" w:hAnsi="宋体" w:eastAsia="宋体" w:cs="宋体"/>
                <w:szCs w:val="21"/>
              </w:rPr>
              <w:t>cm²</w:t>
            </w:r>
            <w:r>
              <w:rPr>
                <w:rFonts w:hint="eastAsia" w:ascii="宋体" w:hAnsi="宋体" w:cs="宋体"/>
                <w:szCs w:val="21"/>
              </w:rPr>
              <w:t>,也可测量 (20×20)</w:t>
            </w:r>
            <w:r>
              <w:rPr>
                <w:rFonts w:hint="eastAsia" w:ascii="宋体" w:hAnsi="宋体" w:eastAsia="宋体" w:cs="宋体"/>
                <w:szCs w:val="21"/>
              </w:rPr>
              <w:t>cm²</w:t>
            </w:r>
            <w:r>
              <w:rPr>
                <w:rFonts w:hint="eastAsia" w:ascii="宋体" w:hAnsi="宋体" w:cs="宋体"/>
                <w:szCs w:val="21"/>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7无线操作：无须连接转换器，自带无线操作功能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8供电：可充电电池</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9可以升级为6兆和10兆FFF补偿模式：用于带有FFF模式的加速器，可以测common beam参数，可以用于6MV和10MV的加速器,摆位简单快速，可检测FFF射束长期稳定性。</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（六）CT电子密度模体</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CT电子密度模体</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1.1用途：用于CT电子密度测量测试 CT 数值的准确性</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2可放置组织等效插栓数量</w:t>
            </w:r>
            <w:r>
              <w:rPr>
                <w:rFonts w:hint="eastAsia" w:ascii="宋体" w:hAnsi="宋体" w:cs="宋体"/>
                <w:szCs w:val="21"/>
                <w:lang w:eastAsia="zh-CN"/>
              </w:rPr>
              <w:t>：</w:t>
            </w:r>
            <w:r>
              <w:rPr>
                <w:rFonts w:hint="eastAsia" w:ascii="宋体" w:hAnsi="宋体" w:cs="宋体"/>
                <w:szCs w:val="21"/>
              </w:rPr>
              <w:t>≥17</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3物理密度:插件的物理密度与目标密度之间误差不超过士1%</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（七）胶片扫描仪和分析软件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1胶片扫描仪和分析软件</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1.1用途：用于测量分析伽玛刀和加速器的辐射野特性，MLC到位精度。</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2硬件要求：胶片扫描仪透扫相对黑度 3.5 以上。</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3胶片剂量分析软件</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3.1分析加速器，伽玛刀和X刀的各项射野参数，包括辐射野尺寸，半影等</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3.2可测量伽玛刀的辐射野中心与机械中心的偏差</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（八）超声膀胱扫描仪</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1超声膀胱扫描仪</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1.1探头：2.5MHz 3D机械扇扫</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2容积最大允差：20mL～99mL允差±10mL；</w:t>
            </w:r>
            <w:r>
              <w:rPr>
                <w:rFonts w:hint="eastAsia" w:ascii="宋体" w:hAnsi="宋体" w:cs="宋体"/>
                <w:color w:val="auto"/>
                <w:szCs w:val="21"/>
              </w:rPr>
              <w:t>100mL～999mL</w:t>
            </w:r>
            <w:r>
              <w:rPr>
                <w:rFonts w:hint="eastAsia" w:ascii="宋体" w:hAnsi="宋体" w:cs="宋体"/>
                <w:szCs w:val="21"/>
              </w:rPr>
              <w:t>允差±10%</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3膀胱定位方式：预扫描定位，投影定位；</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4校正功能：具备对膀胱轮廓手动校正功能</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（九）一维小水箱</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1一维小水箱</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1.1用途：用于配合剂量仪测量绝对剂量</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（十）免冲洗胶片</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1剂量范围：0.1cGY至10GY</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（十一）辐射巡检仪</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1测量范围至少包含：mR/hr: 0.001～100.0、CPM: 0～350,000、μSv/hr: 0.001～1,000、CPS: 0～5,000、Total/ Timer - 1～9,999,000 counts</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2灵敏度：3340 CPM/mR/hr referenced to Cs-137、α射线 ≥ 2.0 MeV、β射线 ≥ 40 keV、γ射线 ≥ 10 keV</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（十二）干燥箱</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1容积</w:t>
            </w:r>
            <w:r>
              <w:rPr>
                <w:rFonts w:hint="eastAsia" w:ascii="宋体" w:hAnsi="宋体" w:cs="宋体"/>
                <w:szCs w:val="21"/>
                <w:lang w:eastAsia="zh-CN"/>
              </w:rPr>
              <w:t>：</w:t>
            </w:r>
            <w:r>
              <w:rPr>
                <w:rFonts w:hint="eastAsia" w:ascii="宋体" w:hAnsi="宋体" w:cs="宋体"/>
                <w:szCs w:val="21"/>
              </w:rPr>
              <w:t>≥270L</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2除湿范围</w:t>
            </w:r>
            <w:r>
              <w:rPr>
                <w:rFonts w:hint="eastAsia" w:ascii="宋体" w:hAnsi="宋体" w:cs="宋体"/>
                <w:szCs w:val="21"/>
                <w:lang w:eastAsia="zh-CN"/>
              </w:rPr>
              <w:t>：</w:t>
            </w:r>
            <w:r>
              <w:rPr>
                <w:rFonts w:hint="eastAsia" w:ascii="宋体" w:hAnsi="宋体" w:cs="宋体"/>
                <w:szCs w:val="21"/>
              </w:rPr>
              <w:t>25%～55%RH</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3层板：数量4块，承重≥50kg</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（十三）多功能固定架（窄款）</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1多功能固定架（窄款）</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1.1多功能一体架可用于头、头颈、胸腹、下腹、乳腺、全身等各部位肿瘤放疗仰卧体位固定，可拓展组件实现俯卧体位固定</w:t>
            </w:r>
            <w:r>
              <w:rPr>
                <w:rFonts w:hint="eastAsia" w:ascii="宋体" w:hAnsi="宋体" w:cs="宋体"/>
                <w:szCs w:val="21"/>
                <w:lang w:eastAsia="zh-CN"/>
              </w:rPr>
              <w:t>，</w:t>
            </w:r>
            <w:r>
              <w:rPr>
                <w:rFonts w:hint="eastAsia" w:ascii="宋体" w:hAnsi="宋体" w:cs="宋体"/>
                <w:szCs w:val="21"/>
              </w:rPr>
              <w:t>固定架主体为碳纤维原料</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1.2可使用国际标准适配条把固定架锁紧在扫描床/治疗床上，固定架背面设计有适配条凹槽，凹槽数量≥3</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1.3设计有乳腺开窗定位膜，固定头部、健侧乳腺及上腹部，患侧乳腺器官裸露不受挤压，头部偏健侧固定可更好地暴露锁骨上靶区并保证摆位重复性，提供临床案例数据</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1.4设计有体侧抓握把手，把手头脚方向可调档位≥8</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1.5可扩展SRS、SBRT、头颈肩膜快速自动解锁、俯卧乳腺体位固定、俯卧盆腔体位固定等功能组件</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1.6多功能固定架（窄款）配置：碳纤维底板1件、头枕适配器1件、分腿固定装置1件、分腿片5件、体侧抓握把手1对</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2手臂支撑架（窄款）</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2.1手臂支撑架配置：手臂支撑架底板1套、手臂托右1套、手臂托左1套、可调腕托支架左1套、可调腕托支架右1套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3膝部支撑组件</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3.1膝部支撑组件配置：腿部泡棉垫1件、腿部增高垫 2 件、腿部垫固定装置1套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4脚踝支撑组件</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4.1脚踝支撑组件配置：脚部泡棉垫1 件、脚踝泡棉固定装置1套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5头部立体定向固定组件</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5.1头部立体定向固定组件配置：碳纤维底板1件、0号可更换边框2件、-1号可更换边框1件、+1号可更换边框1件、卡爪14个、头枕1个</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6体部立体定向固定组件</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6.1弓形尺采用卡扣式锁紧设计，左右两侧独立调节，可实现偏侧压腹调节，高度可调档位≥13，一键锁紧设计，非通过螺丝固定</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6.2弓形尺采用环形结构设计，可以进入普通孔径CT，使用核磁模拟定位时环形弓形尺可以避免体部线圈与扫描部位距离过远而影响图像质量</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6.3腹部弓形尺刚性压腹板可升降调节距离≥60mm，最小可调刻度值≤1mm，用于控制患者呼吸幅度微调</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lang w:eastAsia="zh-CN"/>
              </w:rPr>
            </w:pPr>
            <w:r>
              <w:rPr>
                <w:rFonts w:hint="eastAsia" w:ascii="宋体" w:hAnsi="宋体" w:cs="宋体"/>
                <w:szCs w:val="21"/>
              </w:rPr>
              <w:t>6.4设计有柔性压腹板，柔性压腹板采用气囊形式，通过充气控制患者呼吸幅度微调，改善患者舒适性</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6.5膝部垫、脚垫采用连续滑动锁紧设计，便于临床对固定位置进行微调</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6.6体部立体定向固定组件配置：翼形板1套、压腹弓形尺1件、膝部弓形尺1件、膝部支撑组件1套、脚踝支撑组件1套、适配条1条、体部真空袋1件、膝部真空袋1件、柔性气囊1件、手持泵1件</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7俯卧盆腔固定组件</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7.1俯卧盆腔固定组件配置：俯卧盆腔下半段1套、俯卧盆腔上半段1套、腿部垫1件、双杆把手2根、可调头枕托1套、适配条2根</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8定制MR床板</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8.1根据磁共振设备定制平面床板和线圈支架，满足患者重复摆位的基础条件</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材质：床板为凯夫拉材质，结构件为POM、PEEK、黄铜等无磁材料，产品标识为MR Conditional，床板主体使用高强度凯夫拉材料通过真空高压一体成型，稳定性强，床面平整度≤1mm，均匀负载80KG形变幅度≤0.5mm，在3.0T及以下场强MR环境安全使用，床板两侧有丝印刻度，有适配条索引孔位，床板与扫描床应采用卡扣方式固定，利于拆卸和安装，不影响日常MR扫描，可拓展兼容体位固定附件的定制头颈扫描线圈，需配置头部与体部两个线圈支架，线圈支架材质：ABS、玻璃纤维、PEEK、铜等无磁材料，产品标识为MR Conditional头部与体部线圈支架可根据病人体厚调节高度，使得线圈无限贴近人体,又不会因重力压到患者引起体态变形，体部线圈支架高度一键调节，可调范围≥190mm，体部线圈支架头脚方向俯仰角调节范围≥25°，线圈位于支架内部，扫描区内无金属和磁性部件，不造成图像伪影。</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8.2定制MR床板配置：核磁兼容底板1块、头部线圈支架1套、体部线圈支架1套</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9核磁兼容多功能固定架（窄款）</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9.1多功能一体架可用于头、头颈、胸腹、下腹、乳腺、全身等各部位肿瘤放疗仰卧体位固定，可拓展组件实现俯卧体位固定</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9.2固定架整体为核磁兼容材质</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9.3固定架规格尺寸长度≥1990mm，宽度≤540mm，厚度≥25mm，易于进入常规孔径CT和MRI，重量≤6kg</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9.4设计有乳腺开窗定位膜，固定头部、健侧乳腺及上腹部，患侧乳腺器官裸露不受挤压，头部偏健侧固定可更好地暴露锁骨上靶区并保证摆位重复性，提供临床案例数据</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9.5设计有体侧抓握把手，把手头脚方向可调档位≥8</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9.6可扩展SRS、SBRT、头颈肩膜快速自动解锁、俯卧乳腺体位固定、俯卧盆腔体位固定等功能组件</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9.7可使用国际标准适配条把固定架锁紧在扫描床/治疗床上，固定架背面设计有适配条凹槽，凹槽数量≥3</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9.8具有良好的生物兼容性，不含对人体健康或工作环境有害的重金属物质，提供第三方检测报告</w:t>
            </w:r>
            <w:r>
              <w:rPr>
                <w:rFonts w:hint="eastAsia" w:ascii="宋体" w:hAnsi="宋体" w:cs="宋体"/>
                <w:szCs w:val="21"/>
                <w:lang w:eastAsia="zh-CN"/>
              </w:rPr>
              <w:t>；</w:t>
            </w:r>
          </w:p>
          <w:p>
            <w:pPr>
              <w:numPr>
                <w:ilvl w:val="0"/>
                <w:numId w:val="0"/>
              </w:numPr>
              <w:spacing w:line="240" w:lineRule="auto"/>
              <w:textAlignment w:val="auto"/>
              <w:rPr>
                <w:rFonts w:hint="eastAsia" w:ascii="宋体" w:hAnsi="宋体" w:eastAsia="宋体" w:cs="宋体"/>
                <w:szCs w:val="21"/>
                <w:lang w:eastAsia="zh-CN"/>
              </w:rPr>
            </w:pPr>
            <w:r>
              <w:rPr>
                <w:rFonts w:hint="eastAsia" w:ascii="宋体" w:hAnsi="宋体" w:cs="宋体"/>
                <w:szCs w:val="21"/>
              </w:rPr>
              <w:t>9.9核磁兼容多功能固定架配置：核磁兼容底板1件、头枕适配器1件、分腿固定装置1件、分腿片5件、体侧抓握把手1对</w:t>
            </w:r>
            <w:r>
              <w:rPr>
                <w:rFonts w:hint="eastAsia" w:ascii="宋体" w:hAnsi="宋体" w:cs="宋体"/>
                <w:szCs w:val="21"/>
                <w:lang w:eastAsia="zh-CN"/>
              </w:rPr>
              <w:t>。</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▲四、项目配套第三方设备清单：</w:t>
            </w:r>
          </w:p>
          <w:p>
            <w:pPr>
              <w:numPr>
                <w:ilvl w:val="0"/>
                <w:numId w:val="0"/>
              </w:numPr>
              <w:spacing w:line="240" w:lineRule="auto"/>
              <w:textAlignment w:val="auto"/>
              <w:rPr>
                <w:rFonts w:hint="eastAsia" w:ascii="宋体" w:hAnsi="宋体" w:cs="宋体"/>
                <w:szCs w:val="21"/>
              </w:rPr>
            </w:pPr>
            <w:r>
              <w:rPr>
                <w:rFonts w:hint="eastAsia" w:ascii="宋体" w:hAnsi="宋体" w:cs="宋体"/>
                <w:szCs w:val="21"/>
              </w:rPr>
              <w:t>放疗流程管理系统1套、放射剂量叠加评估软件1套、小野立体定向验证系统1套、绝对计量仪1套、晨检仪1套、</w:t>
            </w:r>
            <w:r>
              <w:rPr>
                <w:rFonts w:hint="eastAsia" w:ascii="宋体" w:hAnsi="宋体" w:cs="宋体"/>
                <w:szCs w:val="21"/>
                <w:lang w:val="en-US" w:eastAsia="zh-CN"/>
              </w:rPr>
              <w:t>CT</w:t>
            </w:r>
            <w:r>
              <w:rPr>
                <w:rFonts w:hint="eastAsia" w:ascii="宋体" w:hAnsi="宋体" w:cs="宋体"/>
                <w:szCs w:val="21"/>
              </w:rPr>
              <w:t>电子密度模体1套、胶片扫描仪和分析软件1套、超声膀胱扫描仪1套、一维小水箱1套、免洗胶片3个、辐射巡检仪1套、干燥箱1套</w:t>
            </w:r>
            <w:r>
              <w:rPr>
                <w:rFonts w:hint="eastAsia" w:ascii="宋体" w:hAnsi="宋体" w:cs="宋体"/>
                <w:szCs w:val="21"/>
                <w:lang w:eastAsia="zh-CN"/>
              </w:rPr>
              <w:t>、</w:t>
            </w:r>
            <w:r>
              <w:rPr>
                <w:rFonts w:hint="eastAsia" w:ascii="宋体" w:hAnsi="宋体" w:cs="宋体"/>
                <w:szCs w:val="21"/>
              </w:rPr>
              <w:t>多功能固定架（窄款）3套、手臂支持架（窄款）3套、膝部支持组件2套、脚踝支撑组件2套、头部立体定向固定组件1套、体部立体固定组件2套、俯卧盆腔固定组件2套、定制MR床板1套、核磁兼容多功能固定架（窄款）1套、透明枕头4套、铝合金适配条6根、核磁兼容适配条2根</w:t>
            </w:r>
            <w:r>
              <w:rPr>
                <w:rFonts w:hint="eastAsia" w:ascii="宋体" w:hAnsi="宋体" w:cs="宋体"/>
                <w:szCs w:val="21"/>
                <w:lang w:eastAsia="zh-CN"/>
              </w:rPr>
              <w:t>、</w:t>
            </w:r>
            <w:r>
              <w:rPr>
                <w:rFonts w:hint="eastAsia" w:ascii="宋体" w:hAnsi="宋体" w:cs="宋体"/>
                <w:szCs w:val="21"/>
              </w:rPr>
              <w:t>多功能烤箱1台、气压表1个、钢板短直尺2把、钢板长直尺2把、红外线水平仪1套、标记铅粒5盒、水平尺1把、示波器1台、万用表1个、电子温湿度计6个、组织补偿胶10卷（0.3cm及0.5cm各5卷）、放疗专用图章1枚、固体水模及适配器1套、除湿机1台。</w:t>
            </w:r>
          </w:p>
        </w:tc>
      </w:tr>
    </w:tbl>
    <w:p>
      <w:pPr>
        <w:pStyle w:val="2"/>
        <w:ind w:firstLine="480" w:firstLineChars="200"/>
        <w:rPr>
          <w:rStyle w:val="191"/>
          <w:rFonts w:hint="eastAsia" w:ascii="宋体" w:hAnsi="宋体"/>
          <w:b/>
          <w:bCs/>
          <w:color w:val="auto"/>
          <w:szCs w:val="21"/>
          <w:u w:val="none"/>
        </w:rPr>
      </w:pPr>
    </w:p>
    <w:p>
      <w:pPr>
        <w:ind w:firstLine="420" w:firstLineChars="200"/>
        <w:rPr>
          <w:rFonts w:hint="eastAsia" w:ascii="宋体" w:hAnsi="宋体" w:cs="宋体"/>
          <w:b/>
          <w:bCs/>
          <w:sz w:val="21"/>
          <w:szCs w:val="21"/>
        </w:rPr>
      </w:pPr>
      <w:r>
        <w:rPr>
          <w:rStyle w:val="191"/>
          <w:rFonts w:hint="eastAsia" w:ascii="宋体" w:hAnsi="宋体"/>
          <w:b/>
          <w:bCs/>
          <w:color w:val="auto"/>
          <w:szCs w:val="21"/>
          <w:u w:val="none"/>
        </w:rPr>
        <w:t>▲</w:t>
      </w:r>
      <w:r>
        <w:rPr>
          <w:rFonts w:hint="eastAsia" w:ascii="宋体" w:hAnsi="宋体" w:cs="宋体"/>
          <w:b/>
          <w:bCs/>
          <w:sz w:val="21"/>
          <w:szCs w:val="21"/>
        </w:rPr>
        <w:t>二、商务要求</w:t>
      </w:r>
      <w:r>
        <w:rPr>
          <w:rFonts w:hint="eastAsia" w:ascii="宋体" w:hAnsi="宋体" w:cs="宋体"/>
          <w:sz w:val="21"/>
          <w:szCs w:val="21"/>
        </w:rPr>
        <w:t>（以下所有为实质性要求条款不满足作无效投标处理）</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（一）质量保证期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（二）交货时间及地点</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1.交货时间：合同</w:t>
      </w:r>
      <w:r>
        <w:rPr>
          <w:rFonts w:hint="eastAsia" w:ascii="宋体" w:hAnsi="宋体" w:cs="宋体"/>
          <w:sz w:val="21"/>
          <w:szCs w:val="21"/>
          <w:lang w:eastAsia="zh"/>
        </w:rPr>
        <w:t>签订</w:t>
      </w:r>
      <w:r>
        <w:rPr>
          <w:rFonts w:hint="eastAsia" w:ascii="宋体" w:hAnsi="宋体" w:cs="宋体"/>
          <w:sz w:val="21"/>
          <w:szCs w:val="21"/>
        </w:rPr>
        <w:t>之日起，中标供应商在30个日历日内向采购人交付全部货物。</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2.交货地点：广西范围内，采购人指定地点。</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（三）服务标准、服务效率、售后服务要求</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3.质保期内发生故障的设备如无法在24小时内修复，须保证年开机率</w:t>
      </w:r>
      <w:r>
        <w:rPr>
          <w:rFonts w:hint="eastAsia" w:ascii="宋体" w:hAnsi="宋体" w:cs="宋体"/>
          <w:sz w:val="21"/>
          <w:szCs w:val="21"/>
          <w:lang w:eastAsia="zh"/>
        </w:rPr>
        <w:t>95%</w:t>
      </w:r>
      <w:r>
        <w:rPr>
          <w:rFonts w:hint="eastAsia" w:ascii="宋体" w:hAnsi="宋体" w:cs="宋体"/>
          <w:sz w:val="21"/>
          <w:szCs w:val="21"/>
        </w:rPr>
        <w:t>以上，否则中标供应商承担相应的损失。单次故障（不可抗力因素除外）维修时间超过20天仍无法修复的，采购人有权要求更换设备或赔偿。</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5.投标产品必须是全新，且生产日期为</w:t>
      </w:r>
      <w:r>
        <w:rPr>
          <w:rFonts w:hint="eastAsia" w:ascii="宋体" w:hAnsi="宋体" w:cs="宋体"/>
          <w:sz w:val="21"/>
          <w:szCs w:val="21"/>
          <w:lang w:val="en-US" w:eastAsia="zh"/>
        </w:rPr>
        <w:t>1年内</w:t>
      </w:r>
      <w:r>
        <w:rPr>
          <w:rFonts w:hint="eastAsia" w:ascii="宋体" w:hAnsi="宋体" w:cs="宋体"/>
          <w:sz w:val="21"/>
          <w:szCs w:val="21"/>
        </w:rPr>
        <w:t>（签订合同之日计算）的产品。产品包装必须是全新的合格产品，并按照原厂标准包装规格供货，不接受散装或拆包装件。所有货物都提供中文说明书和详细装箱清单及质量合格证。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color w:val="000000" w:themeColor="text1"/>
          <w:sz w:val="21"/>
          <w:szCs w:val="21"/>
          <w14:textFill>
            <w14:solidFill>
              <w14:schemeClr w14:val="tx1"/>
            </w14:solidFill>
          </w14:textFill>
        </w:rPr>
        <w:t>安装调试完成后，中标供应商对采购人提供</w:t>
      </w:r>
      <w:r>
        <w:rPr>
          <w:rFonts w:hint="eastAsia" w:ascii="宋体" w:hAnsi="宋体" w:cs="宋体"/>
          <w:color w:val="000000" w:themeColor="text1"/>
          <w:sz w:val="21"/>
          <w:szCs w:val="21"/>
          <w:lang w:val="en-US" w:eastAsia="zh-CN"/>
          <w14:textFill>
            <w14:solidFill>
              <w14:schemeClr w14:val="tx1"/>
            </w14:solidFill>
          </w14:textFill>
        </w:rPr>
        <w:t>不少于3人</w:t>
      </w:r>
      <w:r>
        <w:rPr>
          <w:rFonts w:hint="eastAsia" w:ascii="宋体" w:hAnsi="宋体" w:cs="宋体"/>
          <w:color w:val="000000" w:themeColor="text1"/>
          <w:sz w:val="21"/>
          <w:szCs w:val="21"/>
          <w14:textFill>
            <w14:solidFill>
              <w14:schemeClr w14:val="tx1"/>
            </w14:solidFill>
          </w14:textFill>
        </w:rPr>
        <w:t>次培训，使采购人的操作人员及工程人员熟练掌握全部功能及基本维修，相关费用包括在投标报价中，采购人不再另行支付。</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9.中标供应商保证采购人能够合法应用该器械及相应服务。采购人在办理相关证件及验收等流程中，中标供应商必须提供所需的合法材料。</w:t>
      </w:r>
    </w:p>
    <w:p>
      <w:pPr>
        <w:spacing w:line="460" w:lineRule="exact"/>
        <w:ind w:firstLine="420" w:firstLineChars="200"/>
        <w:rPr>
          <w:rFonts w:hint="eastAsia" w:ascii="宋体" w:hAnsi="宋体" w:cs="宋体"/>
          <w:b/>
          <w:bCs/>
          <w:color w:val="auto"/>
          <w:sz w:val="21"/>
          <w:szCs w:val="21"/>
        </w:rPr>
      </w:pPr>
      <w:r>
        <w:rPr>
          <w:rFonts w:hint="eastAsia" w:ascii="宋体" w:hAnsi="宋体" w:cs="宋体"/>
          <w:b/>
          <w:bCs/>
          <w:color w:val="auto"/>
          <w:sz w:val="21"/>
          <w:szCs w:val="21"/>
        </w:rPr>
        <w:t>（四）付款方式</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70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spacing w:line="460" w:lineRule="exact"/>
        <w:ind w:firstLine="420" w:firstLineChars="200"/>
        <w:rPr>
          <w:rFonts w:hint="eastAsia" w:ascii="宋体" w:hAnsi="宋体" w:cs="宋体"/>
          <w:b/>
          <w:bCs/>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（五）履约保证金</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（六）投标报价要求</w:t>
      </w:r>
    </w:p>
    <w:p>
      <w:pPr>
        <w:spacing w:line="460" w:lineRule="exact"/>
        <w:ind w:firstLine="420" w:firstLineChars="200"/>
        <w:rPr>
          <w:rFonts w:hint="eastAsia" w:ascii="宋体" w:hAnsi="宋体" w:eastAsia="宋体" w:cs="宋体"/>
          <w:sz w:val="21"/>
          <w:szCs w:val="21"/>
          <w:lang w:eastAsia="zh"/>
        </w:rPr>
      </w:pPr>
      <w:r>
        <w:rPr>
          <w:rFonts w:hint="eastAsia" w:ascii="宋体" w:hAnsi="宋体" w:cs="宋体"/>
          <w:sz w:val="21"/>
          <w:szCs w:val="21"/>
        </w:rPr>
        <w:t>投标报价包含货物、货物标准附件、备品备件、专用工具、设备安装辅材、施工辅材、包装、运输、装卸、保险、连接医院信息系统接口费（如</w:t>
      </w:r>
      <w:r>
        <w:rPr>
          <w:rFonts w:hint="eastAsia" w:ascii="宋体" w:hAnsi="宋体" w:cs="宋体"/>
          <w:sz w:val="21"/>
          <w:szCs w:val="21"/>
          <w:lang w:eastAsia="zh"/>
        </w:rPr>
        <w:t>HIS、PACS</w:t>
      </w:r>
      <w:r>
        <w:rPr>
          <w:rFonts w:hint="eastAsia" w:ascii="宋体" w:hAnsi="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（七）政策性加分条件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符合节能环保等国家政策要求。</w:t>
      </w:r>
    </w:p>
    <w:p>
      <w:pPr>
        <w:spacing w:line="460" w:lineRule="exact"/>
        <w:ind w:firstLine="420" w:firstLineChars="200"/>
        <w:rPr>
          <w:rFonts w:hint="eastAsia" w:ascii="宋体" w:hAnsi="宋体" w:cs="宋体"/>
          <w:b/>
          <w:bCs/>
          <w:sz w:val="21"/>
          <w:szCs w:val="21"/>
        </w:rPr>
      </w:pPr>
      <w:r>
        <w:rPr>
          <w:rFonts w:hint="eastAsia" w:ascii="宋体" w:hAnsi="宋体" w:cs="宋体"/>
          <w:b/>
          <w:bCs/>
          <w:sz w:val="21"/>
          <w:szCs w:val="21"/>
        </w:rPr>
        <w:t>（八）验收标准及验收方法</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3.中标供应商需承担供货时产品质量抽样检测的相关费用以及项目验收时发生的一切费用。</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7.验收标准</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1)项目招标文件及中标供应商投标文件中的“技术响应表”,逐条验收；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2)项目招标文件及中标供应商投标文件中的“商务响应表”,逐条验收；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4)国家相关法律、法规、标准和规范等。</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cs="宋体"/>
          <w:sz w:val="21"/>
          <w:szCs w:val="21"/>
        </w:rPr>
      </w:pPr>
      <w:r>
        <w:rPr>
          <w:rFonts w:hint="eastAsia" w:ascii="宋体" w:hAnsi="宋体" w:cs="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（九）进口产品说明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本标项不接受进口设备参与投标。</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（十）规范标准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执行现行的强制执行的国家、行业、地方标准。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（十一）产品资料及说明文件</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（十二）采购预算价及最高限价</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投标报价超采购预算（含单项采购预算，如有）及最高限价（含单项最高限价，如有）的投标无效。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（十三）医疗器械注册或备案要求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hint="eastAsia" w:ascii="宋体" w:hAnsi="宋体" w:cs="宋体"/>
          <w:b/>
          <w:bCs/>
          <w:sz w:val="21"/>
          <w:szCs w:val="21"/>
        </w:rPr>
      </w:pPr>
      <w:r>
        <w:rPr>
          <w:rFonts w:hint="eastAsia" w:ascii="宋体" w:hAnsi="宋体" w:cs="宋体"/>
          <w:b/>
          <w:bCs/>
          <w:sz w:val="21"/>
          <w:szCs w:val="21"/>
        </w:rPr>
        <w:t>（十四）其它</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投标人根据自身情况提供项目实施方案，内容包括但不限于：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sz w:val="21"/>
          <w:szCs w:val="21"/>
        </w:rPr>
        <w:t>3.培训计划（包括但不限于：培训方式、培训次数、人数、课程内容及师资等）</w:t>
      </w:r>
      <w:r>
        <w:rPr>
          <w:rFonts w:hint="eastAsia" w:ascii="宋体" w:hAnsi="宋体" w:cs="宋体"/>
          <w:color w:val="000000" w:themeColor="text1"/>
          <w:sz w:val="21"/>
          <w:szCs w:val="21"/>
          <w:lang w:eastAsia="zh-CN"/>
          <w14:textFill>
            <w14:solidFill>
              <w14:schemeClr w14:val="tx1"/>
            </w14:solidFill>
          </w14:textFill>
        </w:rPr>
        <w:t>；</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4.生产厂家售后服务承诺书等。</w:t>
      </w:r>
    </w:p>
    <w:p>
      <w:pPr>
        <w:pStyle w:val="2"/>
        <w:spacing w:before="157" w:beforeLines="50" w:line="260" w:lineRule="exact"/>
        <w:ind w:firstLine="420" w:firstLineChars="200"/>
        <w:rPr>
          <w:rFonts w:hint="eastAsia" w:hAnsi="宋体"/>
          <w:b/>
          <w:bCs/>
          <w:sz w:val="21"/>
          <w:szCs w:val="21"/>
        </w:rPr>
      </w:pPr>
      <w:r>
        <w:rPr>
          <w:rFonts w:hint="eastAsia" w:ascii="宋体" w:hAnsi="宋体" w:eastAsia="宋体" w:cs="宋体"/>
          <w:b/>
          <w:bCs/>
          <w:color w:val="auto"/>
          <w:kern w:val="2"/>
          <w:sz w:val="21"/>
          <w:szCs w:val="21"/>
          <w:lang w:eastAsia="zh-CN"/>
        </w:rPr>
        <w:t>（十五）</w:t>
      </w:r>
      <w:r>
        <w:rPr>
          <w:rFonts w:hint="eastAsia" w:hAnsi="宋体"/>
          <w:b/>
          <w:bCs/>
          <w:sz w:val="21"/>
          <w:szCs w:val="21"/>
          <w:lang w:eastAsia="zh-CN"/>
        </w:rPr>
        <w:t>核心产品：医用直线加速器(分标</w:t>
      </w:r>
      <w:r>
        <w:rPr>
          <w:rFonts w:hint="eastAsia" w:hAnsi="宋体"/>
          <w:b/>
          <w:bCs/>
          <w:sz w:val="21"/>
          <w:szCs w:val="21"/>
          <w:lang w:val="en-US" w:eastAsia="zh-CN"/>
        </w:rPr>
        <w:t>3</w:t>
      </w:r>
      <w:r>
        <w:rPr>
          <w:rFonts w:hint="eastAsia" w:hAnsi="宋体"/>
          <w:b/>
          <w:bCs/>
          <w:sz w:val="21"/>
          <w:szCs w:val="21"/>
          <w:lang w:eastAsia="zh-CN"/>
        </w:rPr>
        <w:t>)</w:t>
      </w:r>
      <w:r>
        <w:rPr>
          <w:rFonts w:hint="eastAsia" w:hAnsi="宋体" w:cs="宋体"/>
          <w:b/>
          <w:bCs/>
          <w:sz w:val="21"/>
          <w:szCs w:val="21"/>
          <w:lang w:eastAsia="zh-CN"/>
        </w:rPr>
        <w:t>。</w:t>
      </w:r>
    </w:p>
    <w:p>
      <w:pPr>
        <w:pStyle w:val="2"/>
        <w:spacing w:line="260" w:lineRule="exact"/>
        <w:ind w:firstLine="420" w:firstLineChars="200"/>
        <w:rPr>
          <w:rStyle w:val="191"/>
          <w:rFonts w:hint="eastAsia" w:ascii="宋体" w:hAnsi="宋体" w:cs="宋体"/>
          <w:b/>
          <w:bCs/>
          <w:color w:val="auto"/>
          <w:kern w:val="2"/>
          <w:sz w:val="21"/>
          <w:szCs w:val="21"/>
          <w:u w:val="none"/>
        </w:rPr>
      </w:pPr>
    </w:p>
    <w:p>
      <w:pPr>
        <w:pStyle w:val="2"/>
        <w:numPr>
          <w:ilvl w:val="-1"/>
          <w:numId w:val="0"/>
        </w:numPr>
        <w:spacing w:line="240" w:lineRule="exact"/>
        <w:ind w:firstLine="420" w:firstLineChars="200"/>
        <w:rPr>
          <w:rFonts w:hint="eastAsia" w:hAnsi="宋体"/>
          <w:sz w:val="21"/>
          <w:szCs w:val="21"/>
          <w:lang w:eastAsia="zh-CN"/>
        </w:rPr>
      </w:pPr>
      <w:r>
        <w:rPr>
          <w:rStyle w:val="191"/>
          <w:rFonts w:hint="eastAsia" w:ascii="宋体" w:hAnsi="宋体" w:eastAsia="宋体" w:cs="宋体"/>
          <w:b/>
          <w:bCs/>
          <w:color w:val="auto"/>
          <w:sz w:val="21"/>
          <w:szCs w:val="21"/>
          <w:lang w:eastAsia="zh-CN"/>
        </w:rPr>
        <w:t>三、</w:t>
      </w:r>
      <w:r>
        <w:rPr>
          <w:rStyle w:val="191"/>
          <w:rFonts w:hint="eastAsia" w:ascii="宋体" w:hAnsi="宋体" w:eastAsia="宋体" w:cs="宋体"/>
          <w:b/>
          <w:bCs/>
          <w:color w:val="auto"/>
          <w:sz w:val="21"/>
          <w:szCs w:val="21"/>
        </w:rPr>
        <w:t>采购人信息</w:t>
      </w:r>
    </w:p>
    <w:tbl>
      <w:tblPr>
        <w:tblStyle w:val="55"/>
        <w:tblpPr w:leftFromText="180" w:rightFromText="180" w:vertAnchor="text" w:horzAnchor="page" w:tblpX="1847" w:tblpY="429"/>
        <w:tblOverlap w:val="never"/>
        <w:tblW w:w="5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玉林市第一人民医院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spacing w:line="240" w:lineRule="auto"/>
        <w:rPr>
          <w:rStyle w:val="191"/>
          <w:rFonts w:hint="eastAsia" w:ascii="宋体" w:hAnsi="宋体" w:cs="宋体"/>
          <w:b/>
          <w:bCs/>
          <w:color w:val="auto"/>
          <w:szCs w:val="21"/>
          <w:u w:val="none"/>
        </w:rPr>
      </w:pPr>
    </w:p>
    <w:p>
      <w:pPr>
        <w:pStyle w:val="2"/>
        <w:rPr>
          <w:rFonts w:hint="eastAsia" w:hAnsi="宋体"/>
          <w:sz w:val="21"/>
          <w:szCs w:val="21"/>
        </w:rPr>
      </w:pPr>
    </w:p>
    <w:p>
      <w:pPr>
        <w:rPr>
          <w:rFonts w:hint="eastAsia" w:ascii="宋体" w:hAnsi="宋体" w:cs="宋体"/>
          <w:szCs w:val="21"/>
        </w:rPr>
      </w:pPr>
    </w:p>
    <w:p>
      <w:pPr>
        <w:rPr>
          <w:rFonts w:hint="eastAsia"/>
        </w:rPr>
      </w:pPr>
    </w:p>
    <w:p>
      <w:pPr>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1"/>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医用直线加速器</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12</w:t>
            </w:r>
            <w:r>
              <w:rPr>
                <w:rFonts w:ascii="宋体" w:hAnsi="宋体"/>
                <w:b/>
                <w:szCs w:val="21"/>
                <w:u w:val="single"/>
                <w:lang w:val="en"/>
              </w:rPr>
              <w:t>月</w:t>
            </w:r>
            <w:r>
              <w:rPr>
                <w:rFonts w:hint="eastAsia" w:ascii="宋体" w:hAnsi="宋体"/>
                <w:b/>
                <w:szCs w:val="21"/>
                <w:u w:val="single"/>
                <w:lang w:val="en-US" w:eastAsia="zh"/>
              </w:rPr>
              <w:t>01</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color w:val="auto"/>
                <w:szCs w:val="21"/>
              </w:rPr>
              <w:t>（</w:t>
            </w:r>
            <w:r>
              <w:rPr>
                <w:rFonts w:hint="eastAsia" w:ascii="宋体" w:hAnsi="宋体"/>
                <w:color w:val="auto"/>
                <w:szCs w:val="21"/>
              </w:rPr>
              <w:t>本项目采用在线开评标方式，投标供应商无须前往开</w:t>
            </w:r>
            <w:r>
              <w:rPr>
                <w:rFonts w:hint="eastAsia" w:ascii="宋体" w:hAnsi="宋体"/>
                <w:szCs w:val="21"/>
              </w:rPr>
              <w:t>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12</w:t>
            </w:r>
            <w:r>
              <w:rPr>
                <w:rFonts w:ascii="宋体" w:hAnsi="宋体"/>
                <w:b/>
                <w:szCs w:val="21"/>
                <w:u w:val="single"/>
                <w:lang w:val="en"/>
              </w:rPr>
              <w:t>月</w:t>
            </w:r>
            <w:r>
              <w:rPr>
                <w:rFonts w:hint="eastAsia" w:ascii="宋体" w:hAnsi="宋体"/>
                <w:b/>
                <w:szCs w:val="21"/>
                <w:u w:val="single"/>
                <w:lang w:val="en-US" w:eastAsia="zh"/>
              </w:rPr>
              <w:t>01</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CN"/>
              </w:rPr>
              <w:t>评标方法及评分标准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527"/>
      <w:bookmarkStart w:id="14" w:name="_Toc254970668"/>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669"/>
      <w:bookmarkStart w:id="16" w:name="_Toc254970528"/>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530"/>
      <w:bookmarkStart w:id="22" w:name="_Toc254970671"/>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531"/>
      <w:bookmarkStart w:id="24" w:name="_Toc254970672"/>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CN"/>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7" w:name="_Toc254970675"/>
      <w:bookmarkStart w:id="28" w:name="_Toc254970534"/>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535"/>
      <w:bookmarkStart w:id="30" w:name="_Toc254970676"/>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677"/>
      <w:bookmarkStart w:id="32" w:name="_Toc254970536"/>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678"/>
      <w:bookmarkStart w:id="34" w:name="_Toc254970537"/>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538"/>
      <w:bookmarkStart w:id="36" w:name="_Toc254970679"/>
      <w:r>
        <w:rPr>
          <w:rFonts w:hint="eastAsia" w:ascii="宋体" w:hAnsi="宋体"/>
          <w:b/>
          <w:szCs w:val="21"/>
        </w:rPr>
        <w:t>（三）投标报价</w:t>
      </w:r>
      <w:bookmarkEnd w:id="35"/>
      <w:bookmarkEnd w:id="36"/>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680"/>
      <w:bookmarkStart w:id="38"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541"/>
      <w:bookmarkStart w:id="42" w:name="_Toc254970682"/>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684"/>
      <w:bookmarkStart w:id="46"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7" w:name="_Toc254970685"/>
      <w:bookmarkStart w:id="48" w:name="_Toc254970544"/>
      <w:r>
        <w:rPr>
          <w:rFonts w:hint="eastAsia" w:hAnsi="宋体"/>
          <w:b/>
        </w:rPr>
        <w:t>四、开标</w:t>
      </w:r>
      <w:bookmarkEnd w:id="47"/>
      <w:bookmarkEnd w:id="48"/>
    </w:p>
    <w:p>
      <w:pPr>
        <w:adjustRightInd w:val="0"/>
        <w:snapToGrid w:val="0"/>
        <w:spacing w:line="400" w:lineRule="exact"/>
        <w:ind w:firstLine="420" w:firstLineChars="200"/>
        <w:rPr>
          <w:rFonts w:hint="eastAsia" w:ascii="宋体" w:hAnsi="宋体"/>
          <w:b/>
          <w:szCs w:val="21"/>
        </w:rPr>
      </w:pPr>
      <w:r>
        <w:rPr>
          <w:rFonts w:hint="eastAsia" w:ascii="宋体" w:hAnsi="宋体"/>
          <w:b/>
          <w:szCs w:val="21"/>
        </w:rPr>
        <w:t>（一）开标准备</w:t>
      </w:r>
    </w:p>
    <w:p>
      <w:pPr>
        <w:shd w:val="clear"/>
        <w:adjustRightInd w:val="0"/>
        <w:snapToGrid w:val="0"/>
        <w:spacing w:line="400" w:lineRule="exact"/>
        <w:ind w:firstLine="420" w:firstLineChars="200"/>
        <w:rPr>
          <w:rFonts w:ascii="宋体" w:hAnsi="宋体"/>
          <w:bCs/>
          <w:szCs w:val="21"/>
        </w:rPr>
      </w:pPr>
      <w:r>
        <w:rPr>
          <w:rFonts w:hint="eastAsia" w:ascii="宋体" w:hAnsi="宋体"/>
          <w:szCs w:val="21"/>
        </w:rPr>
        <w:t>本中心按招标文件规定的时间、地点通过“广西政府采购云平台”组织开标、开启投标文件，所有供应商均应当准时在线参加。投</w:t>
      </w:r>
      <w:r>
        <w:rPr>
          <w:rFonts w:ascii="宋体" w:hAnsi="宋体"/>
          <w:szCs w:val="21"/>
        </w:rPr>
        <w:t>标供应商因未在线参加开标而导致投标文件无法按时解密等一切后果由供应商自</w:t>
      </w:r>
      <w:r>
        <w:rPr>
          <w:rFonts w:hint="eastAsia" w:ascii="宋体" w:hAnsi="宋体"/>
          <w:szCs w:val="21"/>
        </w:rPr>
        <w:t>行</w:t>
      </w:r>
      <w:r>
        <w:rPr>
          <w:rFonts w:ascii="宋体" w:hAnsi="宋体"/>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690"/>
      <w:bookmarkStart w:id="54" w:name="_Toc254970549"/>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CN"/>
        </w:rPr>
      </w:pPr>
      <w:bookmarkStart w:id="55" w:name="_Toc1211477353"/>
      <w:r>
        <w:rPr>
          <w:rFonts w:hint="eastAsia"/>
        </w:rPr>
        <w:t xml:space="preserve">第四章  </w:t>
      </w:r>
      <w:bookmarkEnd w:id="55"/>
      <w:r>
        <w:rPr>
          <w:rFonts w:hint="eastAsia"/>
          <w:lang w:eastAsia="zh-CN"/>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Times New Roman" w:hAnsi="Times New Roman" w:eastAsia="仿宋_GB2312"/>
          <w:b/>
          <w:sz w:val="32"/>
          <w:szCs w:val="32"/>
          <w:lang w:val="en-US" w:eastAsia="zh-CN"/>
        </w:rPr>
        <w:t>1</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40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40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40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400" w:lineRule="exact"/>
        <w:ind w:firstLine="42" w:firstLineChars="20"/>
        <w:rPr>
          <w:rFonts w:hAnsi="宋体"/>
          <w:b/>
        </w:rPr>
      </w:pPr>
      <w:r>
        <w:rPr>
          <w:rFonts w:hint="eastAsia" w:hAnsi="宋体"/>
          <w:b/>
        </w:rPr>
        <w:t>二、评标方法</w:t>
      </w:r>
    </w:p>
    <w:p>
      <w:pPr>
        <w:pStyle w:val="111"/>
        <w:adjustRightInd w:val="0"/>
        <w:snapToGrid w:val="0"/>
        <w:spacing w:line="400" w:lineRule="exact"/>
        <w:ind w:firstLine="378" w:firstLineChars="180"/>
      </w:pPr>
      <w:r>
        <w:rPr>
          <w:rFonts w:hint="eastAsia"/>
        </w:rPr>
        <w:t>（一）对进入详评的，采用百分制综合评分法。</w:t>
      </w:r>
    </w:p>
    <w:p>
      <w:pPr>
        <w:pStyle w:val="111"/>
        <w:adjustRightInd w:val="0"/>
        <w:snapToGrid w:val="0"/>
        <w:spacing w:line="40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ascii="Times New Roman" w:hAnsi="Times New Roman"/>
          <w:b/>
          <w:bCs/>
        </w:rPr>
        <w:t>1</w:t>
      </w:r>
      <w:r>
        <w:rPr>
          <w:rFonts w:hint="eastAsia"/>
          <w:b/>
          <w:bCs/>
          <w:lang w:val="en-US" w:eastAsia="zh-CN"/>
        </w:rPr>
        <w:t>.</w:t>
      </w:r>
      <w:r>
        <w:rPr>
          <w:rFonts w:hint="eastAsia"/>
          <w:b/>
          <w:bCs/>
          <w:lang w:eastAsia="zh-CN"/>
        </w:rPr>
        <w:t>价格</w:t>
      </w:r>
      <w:r>
        <w:rPr>
          <w:rFonts w:hint="eastAsia"/>
          <w:b/>
          <w:bCs/>
        </w:rPr>
        <w:t>分…………………………………………………………………………………………</w:t>
      </w:r>
      <w:r>
        <w:rPr>
          <w:rFonts w:hint="eastAsia" w:ascii="Times New Roman" w:hAnsi="Times New Roman"/>
          <w:b/>
          <w:bCs/>
          <w:lang w:val="en-US" w:eastAsia="zh"/>
        </w:rPr>
        <w:t>35</w:t>
      </w:r>
      <w:r>
        <w:rPr>
          <w:rFonts w:hint="eastAsia"/>
          <w:b/>
          <w:bCs/>
        </w:rPr>
        <w:t>分</w:t>
      </w:r>
    </w:p>
    <w:p>
      <w:pPr>
        <w:pStyle w:val="111"/>
        <w:adjustRightInd w:val="0"/>
        <w:snapToGrid w:val="0"/>
        <w:spacing w:line="400" w:lineRule="exact"/>
        <w:ind w:firstLine="378" w:firstLineChars="180"/>
      </w:pPr>
      <w:r>
        <w:rPr>
          <w:rFonts w:hint="eastAsia"/>
        </w:rPr>
        <w:t>（</w:t>
      </w:r>
      <w:r>
        <w:rPr>
          <w:rFonts w:hint="eastAsia" w:ascii="Times New Roman" w:hAnsi="Times New Roman"/>
        </w:rPr>
        <w:t>1</w:t>
      </w:r>
      <w:r>
        <w:rPr>
          <w:rFonts w:hint="eastAsia"/>
        </w:rPr>
        <w:t>）</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w:t>
      </w:r>
      <w:r>
        <w:rPr>
          <w:rFonts w:hint="eastAsia" w:ascii="Times New Roman" w:hAnsi="Times New Roman"/>
        </w:rPr>
        <w:t>1</w:t>
      </w:r>
      <w:r>
        <w:rPr>
          <w:rFonts w:hint="eastAsia"/>
        </w:rPr>
        <w:t>-</w:t>
      </w:r>
      <w:r>
        <w:rPr>
          <w:rFonts w:hint="eastAsia" w:ascii="Times New Roman" w:hAnsi="Times New Roman"/>
        </w:rPr>
        <w:t>10</w:t>
      </w:r>
      <w:r>
        <w:rPr>
          <w:rFonts w:hint="eastAsia"/>
        </w:rPr>
        <w:t>%）；除上述情况外，评标价=投标价。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rPr>
          <w:rFonts w:ascii="Times New Roman" w:hAnsi="Times New Roman"/>
        </w:rPr>
        <w:t>2014</w:t>
      </w:r>
      <w:r>
        <w:rPr>
          <w:rFonts w:hint="eastAsia"/>
        </w:rPr>
        <w:t>〕</w:t>
      </w:r>
      <w:r>
        <w:rPr>
          <w:rFonts w:ascii="Times New Roman" w:hAnsi="Times New Roman"/>
        </w:rPr>
        <w:t>68</w:t>
      </w:r>
      <w:r>
        <w:t>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w:t>
      </w:r>
      <w:r>
        <w:rPr>
          <w:rFonts w:hint="eastAsia" w:ascii="Times New Roman" w:hAnsi="Times New Roman"/>
        </w:rPr>
        <w:t>2017</w:t>
      </w:r>
      <w:r>
        <w:rPr>
          <w:rFonts w:hint="eastAsia"/>
        </w:rPr>
        <w:t>〕</w:t>
      </w:r>
      <w:r>
        <w:rPr>
          <w:rFonts w:hint="eastAsia" w:ascii="Times New Roman" w:hAnsi="Times New Roman"/>
        </w:rPr>
        <w:t>141</w:t>
      </w:r>
      <w:r>
        <w:rPr>
          <w:rFonts w:hint="eastAsia"/>
        </w:rPr>
        <w:t>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w:t>
      </w:r>
      <w:r>
        <w:rPr>
          <w:rFonts w:hint="eastAsia" w:ascii="Times New Roman" w:hAnsi="Times New Roman"/>
        </w:rPr>
        <w:t>2</w:t>
      </w:r>
      <w:r>
        <w:rPr>
          <w:rFonts w:hint="eastAsia"/>
        </w:rPr>
        <w:t>）以满足采购文件要求的最低评标价为</w:t>
      </w:r>
      <w:r>
        <w:rPr>
          <w:rFonts w:hint="eastAsia" w:ascii="Times New Roman" w:hAnsi="Times New Roman"/>
          <w:lang w:val="en-US" w:eastAsia="zh"/>
        </w:rPr>
        <w:t>35</w:t>
      </w:r>
      <w:r>
        <w:rPr>
          <w:rFonts w:hint="eastAsia"/>
        </w:rPr>
        <w:t>分。</w:t>
      </w:r>
    </w:p>
    <w:p>
      <w:pPr>
        <w:pStyle w:val="111"/>
        <w:adjustRightInd w:val="0"/>
        <w:snapToGrid w:val="0"/>
        <w:spacing w:line="360" w:lineRule="exact"/>
        <w:ind w:firstLine="378" w:firstLineChars="180"/>
      </w:pPr>
      <w:r>
        <w:rPr>
          <w:rFonts w:hint="eastAsia"/>
        </w:rPr>
        <w:t>（</w:t>
      </w:r>
      <w:r>
        <w:rPr>
          <w:rFonts w:ascii="Times New Roman" w:hAnsi="Times New Roman"/>
        </w:rP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ascii="Times New Roman" w:hAnsi="Times New Roman"/>
          <w:lang w:val="en-US" w:eastAsia="zh"/>
        </w:rPr>
        <w:t>35</w:t>
      </w:r>
      <w:r>
        <w:rPr>
          <w:rFonts w:hint="eastAsia"/>
        </w:rPr>
        <w:t>分。</w:t>
      </w:r>
    </w:p>
    <w:p>
      <w:pPr>
        <w:pStyle w:val="405"/>
        <w:ind w:firstLine="420" w:firstLineChars="200"/>
        <w:rPr>
          <w:rFonts w:hAnsi="宋体"/>
          <w:b/>
        </w:rPr>
      </w:pPr>
      <w:r>
        <w:rPr>
          <w:rFonts w:hint="eastAsia" w:ascii="Times New Roman" w:hAnsi="Times New Roman"/>
          <w:b/>
          <w:bCs/>
        </w:rPr>
        <w:t>2</w:t>
      </w:r>
      <w:r>
        <w:rPr>
          <w:rFonts w:hint="eastAsia"/>
          <w:b/>
          <w:bCs/>
          <w:lang w:val="en-US" w:eastAsia="zh-CN"/>
        </w:rPr>
        <w:t>.</w:t>
      </w:r>
      <w:r>
        <w:rPr>
          <w:rFonts w:hint="eastAsia"/>
          <w:b/>
          <w:bCs/>
        </w:rPr>
        <w:t>技术分…………………………………………………………………………………………</w:t>
      </w:r>
      <w:r>
        <w:rPr>
          <w:rFonts w:hint="eastAsia" w:ascii="Times New Roman" w:hAnsi="Times New Roman"/>
          <w:b/>
          <w:bCs/>
          <w:lang w:val="en-US" w:eastAsia="zh"/>
        </w:rPr>
        <w:t>56</w:t>
      </w:r>
      <w:r>
        <w:rPr>
          <w:rFonts w:hint="eastAsia"/>
          <w:b/>
          <w:bCs/>
        </w:rPr>
        <w:t>分</w:t>
      </w:r>
    </w:p>
    <w:p>
      <w:pPr>
        <w:pStyle w:val="111"/>
        <w:adjustRightInd w:val="0"/>
        <w:snapToGrid w:val="0"/>
        <w:spacing w:line="400" w:lineRule="exact"/>
        <w:ind w:firstLine="378" w:firstLineChars="180"/>
        <w:rPr>
          <w:rFonts w:hint="eastAsia"/>
        </w:rPr>
      </w:pPr>
      <w:r>
        <w:rPr>
          <w:rFonts w:hint="eastAsia"/>
        </w:rPr>
        <w:t>（</w:t>
      </w:r>
      <w:r>
        <w:rPr>
          <w:rFonts w:hint="eastAsia" w:ascii="Times New Roman" w:hAnsi="Times New Roman"/>
        </w:rPr>
        <w:t>1</w:t>
      </w:r>
      <w:r>
        <w:rPr>
          <w:rFonts w:hint="eastAsia"/>
        </w:rPr>
        <w:t>）一般技术参数要求响应得分（满分</w:t>
      </w:r>
      <w:r>
        <w:rPr>
          <w:rFonts w:hint="eastAsia" w:ascii="Times New Roman" w:hAnsi="Times New Roman"/>
          <w:lang w:val="en-US" w:eastAsia="zh-CN"/>
        </w:rPr>
        <w:t>15</w:t>
      </w:r>
      <w:r>
        <w:rPr>
          <w:rFonts w:hint="eastAsia"/>
        </w:rPr>
        <w:t>分）</w:t>
      </w:r>
    </w:p>
    <w:p>
      <w:pPr>
        <w:pStyle w:val="111"/>
        <w:adjustRightInd w:val="0"/>
        <w:snapToGrid w:val="0"/>
        <w:spacing w:line="400" w:lineRule="exact"/>
        <w:ind w:firstLine="378" w:firstLineChars="180"/>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ascii="Times New Roman" w:hAnsi="Times New Roman" w:eastAsia="宋体"/>
          <w:bCs w:val="0"/>
          <w:szCs w:val="21"/>
          <w:lang w:val="en-US" w:eastAsia="zh-CN"/>
        </w:rPr>
        <w:t>304</w:t>
      </w:r>
      <w:r>
        <w:rPr>
          <w:rFonts w:hint="eastAsia" w:ascii="宋体" w:hAnsi="宋体" w:eastAsia="宋体"/>
          <w:bCs w:val="0"/>
          <w:szCs w:val="21"/>
        </w:rPr>
        <w:t>项），“</w:t>
      </w:r>
      <w:r>
        <w:rPr>
          <w:rFonts w:hint="eastAsia" w:ascii="宋体" w:hAnsi="宋体" w:eastAsia="宋体"/>
          <w:bCs w:val="0"/>
          <w:szCs w:val="21"/>
          <w:lang w:eastAsia="zh-CN"/>
        </w:rPr>
        <w:t>放射治疗设备要求</w:t>
      </w:r>
      <w:r>
        <w:rPr>
          <w:rFonts w:hint="eastAsia" w:ascii="宋体" w:hAnsi="宋体" w:eastAsia="宋体"/>
          <w:bCs w:val="0"/>
          <w:szCs w:val="21"/>
          <w:lang w:val="en-US" w:eastAsia="zh-CN"/>
        </w:rPr>
        <w:t>概述</w:t>
      </w:r>
      <w:r>
        <w:rPr>
          <w:rFonts w:hint="eastAsia" w:ascii="宋体" w:hAnsi="宋体" w:eastAsia="宋体"/>
          <w:bCs w:val="0"/>
          <w:szCs w:val="21"/>
        </w:rPr>
        <w:t xml:space="preserve"> ”“机架运动系统”“束流系统 ”“剂量监测系统”“准直器系统”“治疗床系统”“机载图像引导系统”“</w:t>
      </w:r>
      <w:r>
        <w:rPr>
          <w:rFonts w:hint="eastAsia" w:ascii="Times New Roman" w:hAnsi="Times New Roman" w:eastAsia="宋体"/>
          <w:bCs w:val="0"/>
          <w:szCs w:val="21"/>
        </w:rPr>
        <w:t>EPID</w:t>
      </w:r>
      <w:r>
        <w:rPr>
          <w:rFonts w:hint="eastAsia" w:ascii="宋体" w:hAnsi="宋体" w:eastAsia="宋体"/>
          <w:bCs w:val="0"/>
          <w:szCs w:val="21"/>
        </w:rPr>
        <w:t>成像系统”“</w:t>
      </w:r>
      <w:r>
        <w:rPr>
          <w:rFonts w:hint="eastAsia" w:ascii="Times New Roman" w:hAnsi="Times New Roman" w:eastAsia="宋体"/>
          <w:bCs w:val="0"/>
          <w:szCs w:val="21"/>
        </w:rPr>
        <w:t>EPID</w:t>
      </w:r>
      <w:r>
        <w:rPr>
          <w:rFonts w:hint="eastAsia" w:ascii="宋体" w:hAnsi="宋体" w:eastAsia="宋体"/>
          <w:bCs w:val="0"/>
          <w:szCs w:val="21"/>
        </w:rPr>
        <w:t>质控系统”“治疗模式”“</w:t>
      </w:r>
      <w:r>
        <w:rPr>
          <w:rFonts w:hint="eastAsia" w:ascii="宋体" w:hAnsi="宋体" w:eastAsia="宋体"/>
          <w:bCs w:val="0"/>
          <w:szCs w:val="21"/>
          <w:lang w:val="en-US" w:eastAsia="zh-CN"/>
        </w:rPr>
        <w:t>放射治疗计划系统</w:t>
      </w:r>
      <w:r>
        <w:rPr>
          <w:rFonts w:hint="eastAsia" w:ascii="宋体" w:hAnsi="宋体" w:eastAsia="宋体"/>
          <w:bCs w:val="0"/>
          <w:szCs w:val="21"/>
        </w:rPr>
        <w:t>”“放疗专用肿瘤信息管理系统”“放疗专用激光灯系统”“三维调强验证系统”“立体定向放疗质控模体”“二次剂量验证系统”</w:t>
      </w:r>
      <w:r>
        <w:rPr>
          <w:rFonts w:hint="eastAsia" w:ascii="宋体" w:hAnsi="宋体" w:eastAsia="宋体"/>
          <w:bCs w:val="0"/>
          <w:szCs w:val="21"/>
          <w:lang w:eastAsia="zh-CN"/>
        </w:rPr>
        <w:t>“晨检仪”“辐射防护设备和其他设备”“体位固定方案”“体表光学定位系统”“剂量仪”“三维水箱”“平面剂量验证系统”“数据管理系统”</w:t>
      </w:r>
      <w:r>
        <w:rPr>
          <w:rFonts w:hint="eastAsia" w:ascii="宋体" w:hAnsi="宋体" w:eastAsia="宋体"/>
          <w:bCs w:val="0"/>
          <w:szCs w:val="21"/>
        </w:rPr>
        <w:t>等为技术参数要求的名称描述，不计入一般技术参数要求数量。</w:t>
      </w:r>
    </w:p>
    <w:p>
      <w:pPr>
        <w:pStyle w:val="111"/>
        <w:adjustRightInd w:val="0"/>
        <w:snapToGrid w:val="0"/>
        <w:spacing w:line="40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Times New Roman" w:hAnsi="Times New Roman" w:eastAsia="宋体"/>
          <w:bCs w:val="0"/>
          <w:szCs w:val="21"/>
        </w:rPr>
        <w:t>0</w:t>
      </w:r>
      <w:r>
        <w:rPr>
          <w:rFonts w:hint="eastAsia" w:ascii="宋体" w:hAnsi="宋体" w:eastAsia="宋体"/>
          <w:bCs w:val="0"/>
          <w:szCs w:val="21"/>
        </w:rPr>
        <w:t>.</w:t>
      </w:r>
      <w:r>
        <w:rPr>
          <w:rFonts w:hint="eastAsia" w:ascii="Times New Roman" w:hAnsi="Times New Roman"/>
          <w:bCs w:val="0"/>
          <w:szCs w:val="21"/>
          <w:lang w:val="en-US" w:eastAsia="zh-CN"/>
        </w:rPr>
        <w:t>05</w:t>
      </w:r>
      <w:r>
        <w:rPr>
          <w:rFonts w:hint="eastAsia" w:ascii="宋体" w:hAnsi="宋体" w:eastAsia="宋体"/>
          <w:bCs w:val="0"/>
          <w:szCs w:val="21"/>
        </w:rPr>
        <w:t>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w:t>
      </w:r>
      <w:r>
        <w:rPr>
          <w:rFonts w:hint="eastAsia" w:ascii="Times New Roman" w:hAnsi="Times New Roman"/>
        </w:rPr>
        <w:t>2</w:t>
      </w:r>
      <w:r>
        <w:rPr>
          <w:rFonts w:hint="eastAsia"/>
        </w:rPr>
        <w:t>）重要</w:t>
      </w:r>
      <w:r>
        <w:rPr>
          <w:rFonts w:hint="eastAsia"/>
          <w:lang w:eastAsia="zh-CN"/>
        </w:rPr>
        <w:t>技术</w:t>
      </w:r>
      <w:r>
        <w:rPr>
          <w:rFonts w:hint="eastAsia"/>
        </w:rPr>
        <w:t>参数要求响应得分（满分</w:t>
      </w:r>
      <w:r>
        <w:rPr>
          <w:rFonts w:hint="eastAsia" w:ascii="Times New Roman" w:hAnsi="Times New Roman"/>
          <w:lang w:val="en-US" w:eastAsia="zh-CN"/>
        </w:rPr>
        <w:t>30</w:t>
      </w:r>
      <w:r>
        <w:rPr>
          <w:rFonts w:hint="eastAsia"/>
        </w:rPr>
        <w:t>分）</w:t>
      </w:r>
    </w:p>
    <w:p>
      <w:pPr>
        <w:pStyle w:val="111"/>
        <w:adjustRightInd w:val="0"/>
        <w:snapToGrid w:val="0"/>
        <w:spacing w:line="400" w:lineRule="exact"/>
        <w:ind w:firstLine="378" w:firstLineChars="180"/>
      </w:pPr>
      <w:r>
        <w:rPr>
          <w:rFonts w:hint="eastAsia"/>
        </w:rPr>
        <w:t>重要技术参数要求响应得分（共计</w:t>
      </w:r>
      <w:r>
        <w:rPr>
          <w:rFonts w:hint="eastAsia" w:ascii="Times New Roman" w:hAnsi="Times New Roman"/>
          <w:lang w:val="en-US" w:eastAsia="zh-CN"/>
        </w:rPr>
        <w:t>15</w:t>
      </w:r>
      <w:r>
        <w:rPr>
          <w:rFonts w:hint="eastAsia"/>
        </w:rPr>
        <w:t>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ascii="Times New Roman" w:hAnsi="Times New Roman"/>
          <w:lang w:val="en-US" w:eastAsia="zh-CN"/>
        </w:rPr>
        <w:t>2</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ascii="Times New Roman" w:hAnsi="Times New Roman"/>
          <w:lang w:val="en-US" w:eastAsia="zh"/>
        </w:rPr>
        <w:t>3</w:t>
      </w:r>
      <w:r>
        <w:rPr>
          <w:rFonts w:hint="eastAsia"/>
        </w:rPr>
        <w:t>）技术及项目实施方案分（满分</w:t>
      </w:r>
      <w:r>
        <w:rPr>
          <w:rFonts w:hint="eastAsia" w:ascii="Times New Roman" w:hAnsi="Times New Roman"/>
        </w:rPr>
        <w:t>4</w:t>
      </w:r>
      <w:r>
        <w:rPr>
          <w:rFonts w:hint="eastAsia"/>
        </w:rPr>
        <w:t>分）</w:t>
      </w:r>
    </w:p>
    <w:p>
      <w:pPr>
        <w:pStyle w:val="111"/>
        <w:snapToGrid w:val="0"/>
        <w:spacing w:line="40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一档（</w:t>
      </w:r>
      <w:r>
        <w:rPr>
          <w:rFonts w:hint="default" w:ascii="Times New Roman" w:hAnsi="Times New Roman"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二档（</w:t>
      </w:r>
      <w:r>
        <w:rPr>
          <w:rFonts w:hint="default" w:ascii="Times New Roman" w:hAnsi="Times New Roman"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三档（</w:t>
      </w:r>
      <w:r>
        <w:rPr>
          <w:rFonts w:hint="default" w:ascii="Times New Roman" w:hAnsi="Times New Roman"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400" w:lineRule="exact"/>
        <w:ind w:firstLine="378" w:firstLineChars="180"/>
        <w:rPr>
          <w:rFonts w:hint="eastAsia"/>
        </w:rPr>
      </w:pPr>
      <w:r>
        <w:rPr>
          <w:rFonts w:hint="eastAsia"/>
        </w:rPr>
        <w:t>（</w:t>
      </w:r>
      <w:r>
        <w:rPr>
          <w:rFonts w:hint="eastAsia" w:ascii="Times New Roman" w:hAnsi="Times New Roman"/>
          <w:lang w:val="en-US" w:eastAsia="zh"/>
        </w:rPr>
        <w:t>4</w:t>
      </w:r>
      <w:r>
        <w:rPr>
          <w:rFonts w:hint="eastAsia"/>
        </w:rPr>
        <w:t>）技术人员分（满分</w:t>
      </w:r>
      <w:r>
        <w:rPr>
          <w:rFonts w:hint="eastAsia" w:ascii="Times New Roman" w:hAnsi="Times New Roman"/>
        </w:rPr>
        <w:t>4</w:t>
      </w:r>
      <w:r>
        <w:rPr>
          <w:rFonts w:hint="eastAsia"/>
        </w:rPr>
        <w:t>分）</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一档（</w:t>
      </w:r>
      <w:r>
        <w:rPr>
          <w:rFonts w:hint="eastAsia" w:ascii="Times New Roman" w:hAnsi="Times New Roman" w:eastAsia="宋体" w:cs="Times New Roman"/>
          <w:szCs w:val="21"/>
        </w:rPr>
        <w:t>1</w:t>
      </w:r>
      <w:r>
        <w:rPr>
          <w:rFonts w:hint="eastAsia" w:ascii="宋体" w:hAnsi="宋体" w:eastAsia="宋体" w:cs="Times New Roman"/>
          <w:szCs w:val="21"/>
        </w:rPr>
        <w:t xml:space="preserve">分）：技术人员投入计划，技术人员在安装调试过程提供技术支持和协助计划，拟派技术人员的经验介绍等方案内容齐全，符合基础条件的。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w:t>
      </w:r>
      <w:r>
        <w:rPr>
          <w:rFonts w:hint="eastAsia" w:ascii="Times New Roman" w:hAnsi="Times New Roman" w:eastAsia="宋体" w:cs="Times New Roman"/>
          <w:szCs w:val="21"/>
        </w:rPr>
        <w:t>2</w:t>
      </w:r>
      <w:r>
        <w:rPr>
          <w:rFonts w:hint="eastAsia" w:ascii="宋体" w:hAnsi="宋体" w:eastAsia="宋体" w:cs="Times New Roman"/>
          <w:szCs w:val="21"/>
        </w:rPr>
        <w:t>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w:t>
      </w:r>
      <w:r>
        <w:rPr>
          <w:rFonts w:hint="eastAsia" w:ascii="Times New Roman" w:hAnsi="Times New Roman" w:eastAsia="宋体" w:cs="Times New Roman"/>
          <w:szCs w:val="21"/>
        </w:rPr>
        <w:t>4</w:t>
      </w:r>
      <w:r>
        <w:rPr>
          <w:rFonts w:hint="eastAsia" w:ascii="宋体" w:hAnsi="宋体" w:eastAsia="宋体" w:cs="Times New Roman"/>
          <w:szCs w:val="21"/>
        </w:rPr>
        <w:t>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ind w:firstLine="378" w:firstLineChars="180"/>
      </w:pPr>
      <w:r>
        <w:rPr>
          <w:rFonts w:hint="eastAsia"/>
        </w:rPr>
        <w:t>（</w:t>
      </w:r>
      <w:r>
        <w:rPr>
          <w:rFonts w:hint="eastAsia" w:ascii="Times New Roman" w:hAnsi="Times New Roman"/>
          <w:lang w:val="en-US" w:eastAsia="zh"/>
        </w:rPr>
        <w:t>5</w:t>
      </w:r>
      <w:r>
        <w:rPr>
          <w:rFonts w:hint="eastAsia"/>
        </w:rPr>
        <w:t>）培训计划分（满分</w:t>
      </w:r>
      <w:r>
        <w:rPr>
          <w:rFonts w:hint="eastAsia" w:ascii="Times New Roman" w:hAnsi="Times New Roman"/>
        </w:rPr>
        <w:t>3</w:t>
      </w:r>
      <w:r>
        <w:rPr>
          <w:rFonts w:hint="eastAsia"/>
        </w:rPr>
        <w:t>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w:t>
      </w:r>
      <w:r>
        <w:rPr>
          <w:rFonts w:hint="eastAsia" w:ascii="Times New Roman" w:hAnsi="Times New Roman" w:eastAsia="宋体"/>
          <w:bCs w:val="0"/>
          <w:kern w:val="0"/>
          <w:szCs w:val="21"/>
        </w:rPr>
        <w:t>1</w:t>
      </w:r>
      <w:r>
        <w:rPr>
          <w:rFonts w:hint="eastAsia" w:ascii="宋体" w:hAnsi="宋体" w:eastAsia="宋体"/>
          <w:bCs w:val="0"/>
          <w:kern w:val="0"/>
          <w:szCs w:val="21"/>
        </w:rPr>
        <w:t>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w:t>
      </w:r>
      <w:r>
        <w:rPr>
          <w:rFonts w:hint="eastAsia" w:ascii="Times New Roman" w:hAnsi="Times New Roman" w:eastAsia="宋体"/>
          <w:bCs w:val="0"/>
          <w:kern w:val="0"/>
          <w:szCs w:val="21"/>
        </w:rPr>
        <w:t>3</w:t>
      </w:r>
      <w:r>
        <w:rPr>
          <w:rFonts w:hint="eastAsia" w:ascii="宋体" w:hAnsi="宋体" w:eastAsia="宋体"/>
          <w:bCs w:val="0"/>
          <w:kern w:val="0"/>
          <w:szCs w:val="21"/>
        </w:rPr>
        <w:t>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未提供或有明显错误的不得分。</w:t>
      </w:r>
    </w:p>
    <w:p>
      <w:pPr>
        <w:pStyle w:val="405"/>
        <w:ind w:firstLine="420" w:firstLineChars="200"/>
        <w:rPr>
          <w:rFonts w:ascii="宋体" w:hAnsi="宋体"/>
        </w:rPr>
      </w:pPr>
      <w:r>
        <w:rPr>
          <w:rFonts w:hint="eastAsia" w:ascii="Times New Roman" w:hAnsi="Times New Roman"/>
          <w:b/>
          <w:bCs/>
        </w:rPr>
        <w:t>3</w:t>
      </w:r>
      <w:r>
        <w:rPr>
          <w:rFonts w:hint="eastAsia"/>
          <w:b/>
          <w:bCs/>
          <w:lang w:val="en-US" w:eastAsia="zh-CN"/>
        </w:rPr>
        <w:t>.</w:t>
      </w:r>
      <w:r>
        <w:rPr>
          <w:rFonts w:hint="eastAsia"/>
          <w:b/>
          <w:bCs/>
        </w:rPr>
        <w:t>售后服务分……………………………………………………………………………………</w:t>
      </w:r>
      <w:r>
        <w:rPr>
          <w:rFonts w:hint="eastAsia" w:ascii="Times New Roman" w:hAnsi="Times New Roman"/>
          <w:b/>
          <w:bCs/>
        </w:rPr>
        <w:t>5</w:t>
      </w:r>
      <w:r>
        <w:rPr>
          <w:rFonts w:hint="eastAsia"/>
          <w:b/>
          <w:bCs/>
        </w:rPr>
        <w:t>分</w:t>
      </w:r>
    </w:p>
    <w:p>
      <w:pPr>
        <w:pStyle w:val="111"/>
        <w:adjustRightInd w:val="0"/>
        <w:snapToGrid w:val="0"/>
        <w:ind w:firstLine="378" w:firstLineChars="180"/>
      </w:pPr>
      <w:r>
        <w:rPr>
          <w:rFonts w:hint="eastAsia"/>
        </w:rPr>
        <w:t>（</w:t>
      </w:r>
      <w:r>
        <w:rPr>
          <w:rFonts w:hint="eastAsia" w:ascii="Times New Roman" w:hAnsi="Times New Roman"/>
        </w:rPr>
        <w:t>1</w:t>
      </w:r>
      <w:r>
        <w:rPr>
          <w:rFonts w:hint="eastAsia"/>
        </w:rPr>
        <w:t>）售后服务承诺分（满分</w:t>
      </w:r>
      <w:r>
        <w:rPr>
          <w:rFonts w:hint="eastAsia" w:ascii="Times New Roman" w:hAnsi="Times New Roman"/>
        </w:rPr>
        <w:t>3</w:t>
      </w:r>
      <w:r>
        <w:rPr>
          <w:rFonts w:hint="eastAsia"/>
        </w:rPr>
        <w:t>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w:t>
      </w:r>
      <w:r>
        <w:rPr>
          <w:rFonts w:hint="eastAsia" w:ascii="Times New Roman" w:hAnsi="Times New Roman" w:eastAsia="宋体" w:cs="Times New Roman"/>
          <w:kern w:val="0"/>
          <w:szCs w:val="21"/>
        </w:rPr>
        <w:t>1</w:t>
      </w:r>
      <w:r>
        <w:rPr>
          <w:rFonts w:hint="eastAsia" w:ascii="宋体" w:hAnsi="宋体" w:eastAsia="宋体" w:cs="Times New Roman"/>
          <w:kern w:val="0"/>
          <w:szCs w:val="21"/>
        </w:rPr>
        <w:t>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w:t>
      </w:r>
      <w:r>
        <w:rPr>
          <w:rFonts w:hint="eastAsia" w:ascii="Times New Roman" w:hAnsi="Times New Roman" w:eastAsia="宋体" w:cs="Times New Roman"/>
          <w:kern w:val="0"/>
          <w:szCs w:val="21"/>
        </w:rPr>
        <w:t>3</w:t>
      </w:r>
      <w:r>
        <w:rPr>
          <w:rFonts w:hint="eastAsia" w:ascii="宋体" w:hAnsi="宋体" w:eastAsia="宋体" w:cs="Times New Roman"/>
          <w:kern w:val="0"/>
          <w:szCs w:val="21"/>
        </w:rPr>
        <w:t>分）：售后服务方案细致、合理、可行，能提供生产厂家售后服务承诺书原件，有详细的售后服务管理制度、售后服务流程、应急预案、年度保养计划、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w:t>
      </w:r>
      <w:r>
        <w:rPr>
          <w:rFonts w:hint="eastAsia" w:ascii="Times New Roman" w:hAnsi="Times New Roman"/>
        </w:rPr>
        <w:t>2</w:t>
      </w:r>
      <w:r>
        <w:rPr>
          <w:rFonts w:hint="eastAsia"/>
        </w:rPr>
        <w:t>）质保期（保修期）（满分</w:t>
      </w:r>
      <w:r>
        <w:rPr>
          <w:rFonts w:hint="eastAsia" w:ascii="Times New Roman" w:hAnsi="Times New Roman"/>
        </w:rPr>
        <w:t>2</w:t>
      </w:r>
      <w:r>
        <w:rPr>
          <w:rFonts w:hint="eastAsia"/>
        </w:rPr>
        <w:t>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w:t>
      </w:r>
      <w:r>
        <w:rPr>
          <w:rFonts w:hint="eastAsia" w:ascii="Times New Roman" w:hAnsi="Times New Roman" w:eastAsia="宋体"/>
          <w:bCs w:val="0"/>
        </w:rPr>
        <w:t>3</w:t>
      </w:r>
      <w:r>
        <w:rPr>
          <w:rFonts w:hint="eastAsia" w:ascii="宋体" w:hAnsi="宋体" w:eastAsia="宋体"/>
          <w:bCs w:val="0"/>
        </w:rPr>
        <w:t>年）的基础上，免费保修期每延长</w:t>
      </w:r>
      <w:r>
        <w:rPr>
          <w:rFonts w:hint="eastAsia" w:ascii="Times New Roman" w:hAnsi="Times New Roman" w:eastAsia="宋体"/>
          <w:bCs w:val="0"/>
        </w:rPr>
        <w:t>6</w:t>
      </w:r>
      <w:r>
        <w:rPr>
          <w:rFonts w:hint="eastAsia" w:ascii="宋体" w:hAnsi="宋体" w:eastAsia="宋体"/>
          <w:bCs w:val="0"/>
        </w:rPr>
        <w:t>个月得</w:t>
      </w:r>
      <w:r>
        <w:rPr>
          <w:rFonts w:hint="eastAsia" w:ascii="Times New Roman" w:hAnsi="Times New Roman" w:eastAsia="宋体"/>
          <w:bCs w:val="0"/>
        </w:rPr>
        <w:t>0</w:t>
      </w:r>
      <w:r>
        <w:rPr>
          <w:rFonts w:hint="eastAsia" w:ascii="宋体" w:hAnsi="宋体" w:eastAsia="宋体"/>
          <w:bCs w:val="0"/>
        </w:rPr>
        <w:t>.</w:t>
      </w:r>
      <w:r>
        <w:rPr>
          <w:rFonts w:hint="eastAsia" w:ascii="Times New Roman" w:hAnsi="Times New Roman" w:eastAsia="宋体"/>
          <w:bCs w:val="0"/>
        </w:rPr>
        <w:t>5</w:t>
      </w:r>
      <w:r>
        <w:rPr>
          <w:rFonts w:hint="eastAsia" w:ascii="宋体" w:hAnsi="宋体" w:eastAsia="宋体"/>
          <w:bCs w:val="0"/>
        </w:rPr>
        <w:t>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w:t>
      </w:r>
      <w:r>
        <w:rPr>
          <w:rFonts w:hint="eastAsia" w:ascii="Times New Roman" w:hAnsi="Times New Roman" w:eastAsia="宋体"/>
          <w:bCs w:val="0"/>
        </w:rPr>
        <w:t>2</w:t>
      </w:r>
      <w:r>
        <w:rPr>
          <w:rFonts w:hint="eastAsia" w:ascii="宋体" w:hAnsi="宋体" w:eastAsia="宋体"/>
          <w:bCs w:val="0"/>
        </w:rPr>
        <w:t>分。</w:t>
      </w:r>
    </w:p>
    <w:p>
      <w:pPr>
        <w:pStyle w:val="405"/>
        <w:ind w:firstLine="420" w:firstLineChars="200"/>
        <w:rPr>
          <w:rFonts w:ascii="宋体" w:hAnsi="宋体"/>
        </w:rPr>
      </w:pPr>
      <w:r>
        <w:rPr>
          <w:rFonts w:hint="eastAsia" w:ascii="Times New Roman" w:hAnsi="Times New Roman"/>
          <w:b/>
          <w:bCs/>
        </w:rPr>
        <w:t>4</w:t>
      </w:r>
      <w:r>
        <w:rPr>
          <w:rFonts w:hint="eastAsia"/>
          <w:b/>
          <w:bCs/>
          <w:lang w:val="en-US" w:eastAsia="zh-CN"/>
        </w:rPr>
        <w:t>.</w:t>
      </w:r>
      <w:r>
        <w:rPr>
          <w:rFonts w:hint="eastAsia"/>
          <w:b/>
          <w:bCs/>
        </w:rPr>
        <w:t>信誉分…………………………………………………………………………………………</w:t>
      </w:r>
      <w:r>
        <w:rPr>
          <w:rFonts w:hint="eastAsia" w:ascii="Times New Roman" w:hAnsi="Times New Roman"/>
          <w:b/>
          <w:bCs/>
        </w:rPr>
        <w:t>3</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ascii="Times New Roman" w:hAnsi="Times New Roman"/>
        </w:rPr>
        <w:t>3</w:t>
      </w:r>
      <w:r>
        <w:rPr>
          <w:rFonts w:hint="eastAsia"/>
        </w:rPr>
        <w:t>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Times New Roman" w:hAnsi="Times New Roman" w:eastAsia="宋体" w:cs="宋体"/>
          <w:szCs w:val="21"/>
        </w:rPr>
        <w:t>1</w:t>
      </w:r>
      <w:r>
        <w:rPr>
          <w:rFonts w:hint="eastAsia" w:ascii="宋体" w:hAnsi="宋体" w:eastAsia="宋体" w:cs="宋体"/>
          <w:szCs w:val="21"/>
        </w:rPr>
        <w:t>）投标人通过</w:t>
      </w:r>
      <w:r>
        <w:rPr>
          <w:rFonts w:hint="eastAsia" w:ascii="Times New Roman" w:hAnsi="Times New Roman" w:eastAsia="宋体" w:cs="宋体"/>
          <w:szCs w:val="21"/>
        </w:rPr>
        <w:t>ISO9001</w:t>
      </w:r>
      <w:r>
        <w:rPr>
          <w:rFonts w:hint="eastAsia" w:ascii="宋体" w:hAnsi="宋体" w:eastAsia="宋体" w:cs="宋体"/>
          <w:szCs w:val="21"/>
        </w:rPr>
        <w:t>系列国际质量体系认证、</w:t>
      </w:r>
      <w:r>
        <w:rPr>
          <w:rFonts w:hint="eastAsia" w:ascii="Times New Roman" w:hAnsi="Times New Roman" w:eastAsia="宋体" w:cs="宋体"/>
          <w:szCs w:val="21"/>
        </w:rPr>
        <w:t>ISO13485</w:t>
      </w:r>
      <w:r>
        <w:rPr>
          <w:rFonts w:hint="eastAsia" w:ascii="宋体" w:hAnsi="宋体" w:eastAsia="宋体" w:cs="宋体"/>
          <w:szCs w:val="21"/>
        </w:rPr>
        <w:t>医疗器械质量管理体系认证及</w:t>
      </w:r>
      <w:r>
        <w:rPr>
          <w:rFonts w:hint="eastAsia" w:ascii="Times New Roman" w:hAnsi="Times New Roman" w:eastAsia="宋体" w:cs="宋体"/>
          <w:szCs w:val="21"/>
        </w:rPr>
        <w:t>ISO</w:t>
      </w:r>
      <w:r>
        <w:rPr>
          <w:rFonts w:hint="eastAsia" w:ascii="宋体" w:hAnsi="宋体" w:eastAsia="宋体" w:cs="宋体"/>
          <w:szCs w:val="21"/>
        </w:rPr>
        <w:t xml:space="preserve"> </w:t>
      </w:r>
      <w:r>
        <w:rPr>
          <w:rFonts w:hint="eastAsia" w:ascii="Times New Roman" w:hAnsi="Times New Roman" w:eastAsia="宋体" w:cs="宋体"/>
          <w:szCs w:val="21"/>
        </w:rPr>
        <w:t>14001</w:t>
      </w:r>
      <w:r>
        <w:rPr>
          <w:rFonts w:hint="eastAsia" w:ascii="宋体" w:hAnsi="宋体" w:eastAsia="宋体" w:cs="宋体"/>
          <w:szCs w:val="21"/>
        </w:rPr>
        <w:t>环境管理体系认证的，每有</w:t>
      </w:r>
      <w:r>
        <w:rPr>
          <w:rFonts w:hint="eastAsia" w:ascii="Times New Roman" w:hAnsi="Times New Roman" w:eastAsia="宋体" w:cs="宋体"/>
          <w:szCs w:val="21"/>
        </w:rPr>
        <w:t>1</w:t>
      </w:r>
      <w:r>
        <w:rPr>
          <w:rFonts w:hint="eastAsia" w:ascii="宋体" w:hAnsi="宋体" w:eastAsia="宋体" w:cs="宋体"/>
          <w:szCs w:val="21"/>
        </w:rPr>
        <w:t>项得</w:t>
      </w:r>
      <w:r>
        <w:rPr>
          <w:rFonts w:hint="eastAsia" w:ascii="Times New Roman" w:hAnsi="Times New Roman" w:eastAsia="宋体" w:cs="宋体"/>
          <w:szCs w:val="21"/>
        </w:rPr>
        <w:t>0</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分，满分</w:t>
      </w:r>
      <w:r>
        <w:rPr>
          <w:rFonts w:hint="eastAsia" w:ascii="Times New Roman" w:hAnsi="Times New Roman" w:eastAsia="宋体" w:cs="宋体"/>
          <w:szCs w:val="21"/>
        </w:rPr>
        <w:t>1</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Times New Roman" w:hAnsi="Times New Roman" w:eastAsia="宋体" w:cs="宋体"/>
          <w:szCs w:val="21"/>
        </w:rPr>
        <w:t>2</w:t>
      </w:r>
      <w:r>
        <w:rPr>
          <w:rFonts w:hint="eastAsia" w:ascii="宋体" w:hAnsi="宋体" w:eastAsia="宋体" w:cs="宋体"/>
          <w:szCs w:val="21"/>
        </w:rPr>
        <w:t>）投标人</w:t>
      </w:r>
      <w:r>
        <w:rPr>
          <w:rFonts w:hint="eastAsia" w:ascii="Times New Roman" w:hAnsi="Times New Roman" w:eastAsia="宋体" w:cs="宋体"/>
          <w:szCs w:val="21"/>
        </w:rPr>
        <w:t>202</w:t>
      </w:r>
      <w:r>
        <w:rPr>
          <w:rFonts w:hint="eastAsia" w:ascii="Times New Roman" w:hAnsi="Times New Roman" w:cs="宋体"/>
          <w:szCs w:val="21"/>
          <w:lang w:val="en-US" w:eastAsia="zh"/>
        </w:rPr>
        <w:t>2</w:t>
      </w:r>
      <w:r>
        <w:rPr>
          <w:rFonts w:hint="eastAsia" w:ascii="宋体" w:hAnsi="宋体" w:eastAsia="宋体" w:cs="宋体"/>
          <w:szCs w:val="21"/>
        </w:rPr>
        <w:t>年</w:t>
      </w:r>
      <w:r>
        <w:rPr>
          <w:rFonts w:hint="eastAsia" w:ascii="Times New Roman" w:hAnsi="Times New Roman" w:eastAsia="宋体" w:cs="宋体"/>
          <w:szCs w:val="21"/>
        </w:rPr>
        <w:t>1</w:t>
      </w:r>
      <w:r>
        <w:rPr>
          <w:rFonts w:hint="eastAsia" w:ascii="宋体" w:hAnsi="宋体" w:eastAsia="宋体" w:cs="宋体"/>
          <w:szCs w:val="21"/>
        </w:rPr>
        <w:t>月</w:t>
      </w:r>
      <w:r>
        <w:rPr>
          <w:rFonts w:hint="eastAsia" w:ascii="Times New Roman" w:hAnsi="Times New Roman" w:eastAsia="宋体" w:cs="宋体"/>
          <w:szCs w:val="21"/>
        </w:rPr>
        <w:t>1</w:t>
      </w:r>
      <w:r>
        <w:rPr>
          <w:rFonts w:hint="eastAsia" w:ascii="宋体" w:hAnsi="宋体" w:eastAsia="宋体" w:cs="宋体"/>
          <w:szCs w:val="21"/>
        </w:rPr>
        <w:t>日至今同类项目（同类项目业绩指与采购标的产品相同类型设备的业绩）业绩，每有</w:t>
      </w:r>
      <w:r>
        <w:rPr>
          <w:rFonts w:hint="eastAsia" w:ascii="Times New Roman" w:hAnsi="Times New Roman" w:eastAsia="宋体" w:cs="宋体"/>
          <w:szCs w:val="21"/>
        </w:rPr>
        <w:t>1</w:t>
      </w:r>
      <w:r>
        <w:rPr>
          <w:rFonts w:hint="eastAsia" w:ascii="宋体" w:hAnsi="宋体" w:eastAsia="宋体" w:cs="宋体"/>
          <w:szCs w:val="21"/>
        </w:rPr>
        <w:t>项得</w:t>
      </w:r>
      <w:r>
        <w:rPr>
          <w:rFonts w:hint="eastAsia" w:ascii="Times New Roman" w:hAnsi="Times New Roman" w:eastAsia="宋体" w:cs="宋体"/>
          <w:szCs w:val="21"/>
        </w:rPr>
        <w:t>0</w:t>
      </w:r>
      <w:r>
        <w:rPr>
          <w:rFonts w:hint="eastAsia" w:ascii="宋体" w:hAnsi="宋体" w:eastAsia="宋体" w:cs="宋体"/>
          <w:szCs w:val="21"/>
        </w:rPr>
        <w:t>.</w:t>
      </w:r>
      <w:r>
        <w:rPr>
          <w:rFonts w:hint="eastAsia" w:ascii="Times New Roman" w:hAnsi="Times New Roman" w:eastAsia="宋体" w:cs="宋体"/>
          <w:szCs w:val="21"/>
        </w:rPr>
        <w:t>3</w:t>
      </w:r>
      <w:r>
        <w:rPr>
          <w:rFonts w:hint="eastAsia" w:ascii="宋体" w:hAnsi="宋体" w:eastAsia="宋体" w:cs="宋体"/>
          <w:szCs w:val="21"/>
        </w:rPr>
        <w:t>分，满分</w:t>
      </w:r>
      <w:r>
        <w:rPr>
          <w:rFonts w:hint="eastAsia" w:ascii="Times New Roman" w:hAnsi="Times New Roman" w:eastAsia="宋体" w:cs="宋体"/>
          <w:szCs w:val="21"/>
        </w:rPr>
        <w:t>1</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ascii="Times New Roman" w:hAnsi="Times New Roman"/>
          <w:b/>
          <w:bCs/>
        </w:rPr>
        <w:t>5</w:t>
      </w:r>
      <w:r>
        <w:rPr>
          <w:rFonts w:hint="eastAsia"/>
          <w:b/>
          <w:bCs/>
          <w:lang w:val="en-US" w:eastAsia="zh-CN"/>
        </w:rPr>
        <w:t>.</w:t>
      </w:r>
      <w:r>
        <w:rPr>
          <w:rFonts w:hint="eastAsia"/>
          <w:b/>
          <w:bCs/>
        </w:rPr>
        <w:t>政策功能分……………………………………………………………………………………</w:t>
      </w:r>
      <w:r>
        <w:rPr>
          <w:rFonts w:hint="eastAsia" w:ascii="Times New Roman" w:hAnsi="Times New Roman"/>
          <w:b/>
          <w:bCs/>
        </w:rPr>
        <w:t>1</w:t>
      </w:r>
      <w:r>
        <w:rPr>
          <w:rFonts w:hint="eastAsia"/>
          <w:b/>
          <w:bCs/>
        </w:rPr>
        <w:t>分</w:t>
      </w:r>
    </w:p>
    <w:p>
      <w:pPr>
        <w:pStyle w:val="111"/>
        <w:adjustRightInd w:val="0"/>
        <w:snapToGrid w:val="0"/>
        <w:spacing w:line="400" w:lineRule="exact"/>
        <w:ind w:firstLine="378" w:firstLineChars="180"/>
      </w:pPr>
      <w:r>
        <w:rPr>
          <w:rFonts w:hint="eastAsia"/>
        </w:rPr>
        <w:t>节能、环保分（满分</w:t>
      </w:r>
      <w:r>
        <w:rPr>
          <w:rFonts w:hint="eastAsia" w:ascii="Times New Roman" w:hAnsi="Times New Roman"/>
        </w:rPr>
        <w:t>1</w:t>
      </w:r>
      <w:r>
        <w:rPr>
          <w:rFonts w:hint="eastAsia"/>
        </w:rPr>
        <w:t>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w:t>
      </w:r>
      <w:r>
        <w:rPr>
          <w:rFonts w:hint="eastAsia" w:ascii="Times New Roman" w:hAnsi="Times New Roman" w:eastAsia="宋体" w:cs="宋体"/>
          <w:szCs w:val="21"/>
        </w:rPr>
        <w:t>1</w:t>
      </w:r>
      <w:r>
        <w:rPr>
          <w:rFonts w:hint="eastAsia" w:ascii="宋体" w:hAnsi="宋体" w:eastAsia="宋体" w:cs="宋体"/>
          <w:szCs w:val="21"/>
        </w:rPr>
        <w:t>）</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w:t>
      </w:r>
      <w:r>
        <w:rPr>
          <w:rFonts w:hint="eastAsia" w:ascii="Times New Roman" w:hAnsi="Times New Roman" w:eastAsia="宋体" w:cs="宋体"/>
          <w:szCs w:val="21"/>
        </w:rPr>
        <w:t>0</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w:t>
      </w:r>
      <w:r>
        <w:rPr>
          <w:rFonts w:hint="eastAsia" w:ascii="Times New Roman" w:hAnsi="Times New Roman" w:eastAsia="宋体" w:cs="宋体"/>
        </w:rPr>
        <w:t>2</w:t>
      </w:r>
      <w:r>
        <w:rPr>
          <w:rFonts w:hint="eastAsia" w:ascii="宋体" w:hAnsi="宋体" w:eastAsia="宋体" w:cs="宋体"/>
        </w:rPr>
        <w:t>）</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w:t>
      </w:r>
      <w:r>
        <w:rPr>
          <w:rFonts w:hint="eastAsia" w:ascii="Times New Roman" w:hAnsi="Times New Roman" w:eastAsia="宋体" w:cs="宋体"/>
        </w:rPr>
        <w:t>0</w:t>
      </w:r>
      <w:r>
        <w:rPr>
          <w:rFonts w:hint="eastAsia" w:ascii="宋体" w:hAnsi="宋体" w:eastAsia="宋体" w:cs="宋体"/>
        </w:rPr>
        <w:t>.</w:t>
      </w:r>
      <w:r>
        <w:rPr>
          <w:rFonts w:hint="eastAsia" w:ascii="Times New Roman" w:hAnsi="Times New Roman" w:eastAsia="宋体" w:cs="宋体"/>
        </w:rPr>
        <w:t>5</w:t>
      </w:r>
      <w:r>
        <w:rPr>
          <w:rFonts w:hint="eastAsia" w:ascii="宋体" w:hAnsi="宋体" w:eastAsia="宋体" w:cs="宋体"/>
        </w:rPr>
        <w:t>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w:t>
      </w:r>
      <w:r>
        <w:rPr>
          <w:rFonts w:hint="eastAsia" w:ascii="Times New Roman" w:hAnsi="Times New Roman"/>
          <w:b/>
        </w:rPr>
        <w:t>1</w:t>
      </w:r>
      <w:r>
        <w:rPr>
          <w:rFonts w:hint="eastAsia" w:hAnsi="宋体"/>
          <w:b/>
        </w:rPr>
        <w:t xml:space="preserve">+ </w:t>
      </w:r>
      <w:r>
        <w:rPr>
          <w:rFonts w:hint="eastAsia" w:ascii="Times New Roman" w:hAnsi="Times New Roman"/>
          <w:b/>
        </w:rPr>
        <w:t>2</w:t>
      </w:r>
      <w:r>
        <w:rPr>
          <w:rFonts w:hint="eastAsia" w:hAnsi="宋体"/>
          <w:b/>
        </w:rPr>
        <w:t xml:space="preserve">+ </w:t>
      </w:r>
      <w:r>
        <w:rPr>
          <w:rFonts w:hint="eastAsia" w:ascii="Times New Roman" w:hAnsi="Times New Roman"/>
          <w:b/>
        </w:rPr>
        <w:t>3</w:t>
      </w:r>
      <w:r>
        <w:rPr>
          <w:rFonts w:hint="eastAsia" w:hAnsi="宋体"/>
          <w:b/>
        </w:rPr>
        <w:t xml:space="preserve">+ </w:t>
      </w:r>
      <w:r>
        <w:rPr>
          <w:rFonts w:hint="eastAsia" w:ascii="Times New Roman" w:hAnsi="Times New Roman"/>
          <w:b/>
        </w:rPr>
        <w:t>4</w:t>
      </w:r>
      <w:r>
        <w:rPr>
          <w:rFonts w:hint="eastAsia" w:hAnsi="宋体"/>
          <w:b/>
        </w:rPr>
        <w:t xml:space="preserve">+ </w:t>
      </w:r>
      <w:r>
        <w:rPr>
          <w:rFonts w:hint="eastAsia" w:ascii="Times New Roman" w:hAnsi="Times New Roman"/>
          <w:b/>
        </w:rPr>
        <w:t>5</w:t>
      </w:r>
      <w:r>
        <w:rPr>
          <w:rFonts w:hint="eastAsia" w:hAnsi="宋体"/>
          <w:b/>
        </w:rPr>
        <w:t>。</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w:t>
      </w:r>
      <w:r>
        <w:rPr>
          <w:rFonts w:hint="eastAsia" w:ascii="Times New Roman" w:hAnsi="Times New Roman" w:cs="Courier New"/>
          <w:color w:val="auto"/>
          <w:kern w:val="2"/>
          <w:sz w:val="21"/>
          <w:szCs w:val="21"/>
        </w:rPr>
        <w:t>3</w:t>
      </w:r>
      <w:r>
        <w:rPr>
          <w:rFonts w:hint="eastAsia" w:hAnsi="宋体" w:cs="Courier New"/>
          <w:color w:val="auto"/>
          <w:kern w:val="2"/>
          <w:sz w:val="21"/>
          <w:szCs w:val="21"/>
        </w:rPr>
        <w:t>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Times New Roman" w:hAnsi="Times New Roman" w:eastAsia="仿宋_GB2312"/>
          <w:b/>
          <w:sz w:val="32"/>
          <w:szCs w:val="32"/>
          <w:lang w:val="en-US" w:eastAsia="zh-CN"/>
        </w:rPr>
        <w:t>2</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80" w:lineRule="exact"/>
        <w:ind w:firstLine="420" w:firstLineChars="200"/>
        <w:rPr>
          <w:b/>
          <w:bCs/>
        </w:rPr>
      </w:pPr>
      <w:r>
        <w:rPr>
          <w:rFonts w:hint="eastAsia" w:ascii="Times New Roman" w:hAnsi="Times New Roman"/>
          <w:b/>
          <w:bCs/>
        </w:rPr>
        <w:t>1</w:t>
      </w:r>
      <w:r>
        <w:rPr>
          <w:rFonts w:hint="eastAsia"/>
          <w:b/>
          <w:bCs/>
          <w:lang w:val="en-US" w:eastAsia="zh-CN"/>
        </w:rPr>
        <w:t>.</w:t>
      </w:r>
      <w:r>
        <w:rPr>
          <w:rFonts w:hint="eastAsia"/>
          <w:b/>
          <w:bCs/>
          <w:lang w:eastAsia="zh-CN"/>
        </w:rPr>
        <w:t>价格</w:t>
      </w:r>
      <w:r>
        <w:rPr>
          <w:rFonts w:hint="eastAsia"/>
          <w:b/>
          <w:bCs/>
        </w:rPr>
        <w:t>分…………………………………………………………………………………………</w:t>
      </w:r>
      <w:r>
        <w:rPr>
          <w:rFonts w:hint="eastAsia" w:ascii="Times New Roman" w:hAnsi="Times New Roman"/>
          <w:b/>
          <w:bCs/>
          <w:lang w:val="en-US" w:eastAsia="zh"/>
        </w:rPr>
        <w:t>35</w:t>
      </w:r>
      <w:r>
        <w:rPr>
          <w:rFonts w:hint="eastAsia"/>
          <w:b/>
          <w:bCs/>
        </w:rPr>
        <w:t>分</w:t>
      </w:r>
    </w:p>
    <w:p>
      <w:pPr>
        <w:pStyle w:val="111"/>
        <w:adjustRightInd w:val="0"/>
        <w:snapToGrid w:val="0"/>
        <w:spacing w:line="380" w:lineRule="exact"/>
        <w:ind w:firstLine="378" w:firstLineChars="180"/>
      </w:pPr>
      <w:r>
        <w:rPr>
          <w:rFonts w:hint="eastAsia"/>
        </w:rPr>
        <w:t>（</w:t>
      </w:r>
      <w:r>
        <w:rPr>
          <w:rFonts w:hint="eastAsia" w:ascii="Times New Roman" w:hAnsi="Times New Roman"/>
        </w:rPr>
        <w:t>1</w:t>
      </w:r>
      <w:r>
        <w:rPr>
          <w:rFonts w:hint="eastAsia"/>
        </w:rPr>
        <w:t>）</w:t>
      </w:r>
      <w:r>
        <w:rPr>
          <w:rFonts w:hint="eastAsia" w:ascii="Times New Roman" w:hAnsi="Times New Roman"/>
          <w:bCs/>
        </w:rPr>
        <w:t>符合《政府采购促进中小企业发展管理办法》（财库</w:t>
      </w:r>
      <w:r>
        <w:rPr>
          <w:rFonts w:hint="eastAsia"/>
        </w:rPr>
        <w:t>〔</w:t>
      </w:r>
      <w:r>
        <w:rPr>
          <w:rFonts w:hint="eastAsia" w:ascii="Times New Roman" w:hAnsi="Times New Roman"/>
          <w:bCs/>
        </w:rPr>
        <w:t>2020</w:t>
      </w:r>
      <w:r>
        <w:rPr>
          <w:rFonts w:hint="eastAsia"/>
        </w:rPr>
        <w:t>〕</w:t>
      </w:r>
      <w:r>
        <w:rPr>
          <w:rFonts w:hint="eastAsia" w:ascii="Times New Roman" w:hAnsi="Times New Roman"/>
          <w:bCs/>
        </w:rPr>
        <w:t>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w:t>
      </w:r>
      <w:r>
        <w:rPr>
          <w:rFonts w:hint="eastAsia" w:ascii="Times New Roman" w:hAnsi="Times New Roman"/>
        </w:rPr>
        <w:t>1</w:t>
      </w:r>
      <w:r>
        <w:rPr>
          <w:rFonts w:hint="eastAsia"/>
        </w:rPr>
        <w:t>-</w:t>
      </w:r>
      <w:r>
        <w:rPr>
          <w:rFonts w:hint="eastAsia" w:ascii="Times New Roman" w:hAnsi="Times New Roman"/>
        </w:rPr>
        <w:t>10</w:t>
      </w:r>
      <w:r>
        <w:rPr>
          <w:rFonts w:hint="eastAsia"/>
        </w:rPr>
        <w:t>%）；除上述情况外，评标价=投标价。</w:t>
      </w:r>
    </w:p>
    <w:p>
      <w:pPr>
        <w:pStyle w:val="111"/>
        <w:adjustRightInd w:val="0"/>
        <w:snapToGrid w:val="0"/>
        <w:spacing w:line="380" w:lineRule="exact"/>
        <w:ind w:firstLine="378" w:firstLineChars="180"/>
      </w:pPr>
      <w:r>
        <w:t>投标产品生产企业或服务提供企业按《关于政府采购支持监狱企业发展有关问题的通知》</w:t>
      </w:r>
      <w:r>
        <w:rPr>
          <w:rFonts w:hint="eastAsia"/>
        </w:rPr>
        <w:t>（</w:t>
      </w:r>
      <w:r>
        <w:t>财库</w:t>
      </w:r>
      <w:r>
        <w:rPr>
          <w:rFonts w:hint="eastAsia"/>
        </w:rPr>
        <w:t>〔</w:t>
      </w:r>
      <w:r>
        <w:rPr>
          <w:rFonts w:ascii="Times New Roman" w:hAnsi="Times New Roman"/>
        </w:rPr>
        <w:t>2014</w:t>
      </w:r>
      <w:r>
        <w:rPr>
          <w:rFonts w:hint="eastAsia"/>
        </w:rPr>
        <w:t>〕</w:t>
      </w:r>
      <w:r>
        <w:rPr>
          <w:rFonts w:ascii="Times New Roman" w:hAnsi="Times New Roman"/>
        </w:rPr>
        <w:t>68</w:t>
      </w:r>
      <w:r>
        <w:t>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380" w:lineRule="exact"/>
        <w:ind w:firstLine="378" w:firstLineChars="180"/>
      </w:pPr>
      <w:r>
        <w:t>投标产品生产</w:t>
      </w:r>
      <w:r>
        <w:rPr>
          <w:rFonts w:hint="eastAsia"/>
        </w:rPr>
        <w:t>单位</w:t>
      </w:r>
      <w:r>
        <w:t>或服务提供</w:t>
      </w:r>
      <w:r>
        <w:rPr>
          <w:rFonts w:hint="eastAsia"/>
        </w:rPr>
        <w:t>单位按《关于促进残疾人就业政府采购政策的通知》（财库〔</w:t>
      </w:r>
      <w:r>
        <w:rPr>
          <w:rFonts w:hint="eastAsia" w:ascii="Times New Roman" w:hAnsi="Times New Roman"/>
        </w:rPr>
        <w:t>2017</w:t>
      </w:r>
      <w:r>
        <w:rPr>
          <w:rFonts w:hint="eastAsia"/>
        </w:rPr>
        <w:t>〕</w:t>
      </w:r>
      <w:r>
        <w:rPr>
          <w:rFonts w:hint="eastAsia" w:ascii="Times New Roman" w:hAnsi="Times New Roman"/>
        </w:rPr>
        <w:t>141</w:t>
      </w:r>
      <w:r>
        <w:rPr>
          <w:rFonts w:hint="eastAsia"/>
        </w:rPr>
        <w:t>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380" w:lineRule="exact"/>
        <w:ind w:firstLine="378" w:firstLineChars="180"/>
      </w:pPr>
      <w:r>
        <w:rPr>
          <w:rFonts w:hint="eastAsia"/>
        </w:rPr>
        <w:t>（</w:t>
      </w:r>
      <w:r>
        <w:rPr>
          <w:rFonts w:hint="eastAsia" w:ascii="Times New Roman" w:hAnsi="Times New Roman"/>
        </w:rPr>
        <w:t>2</w:t>
      </w:r>
      <w:r>
        <w:rPr>
          <w:rFonts w:hint="eastAsia"/>
        </w:rPr>
        <w:t>）以满足采购文件要求的最低评标价为</w:t>
      </w:r>
      <w:r>
        <w:rPr>
          <w:rFonts w:hint="eastAsia" w:ascii="Times New Roman" w:hAnsi="Times New Roman"/>
          <w:lang w:val="en-US" w:eastAsia="zh"/>
        </w:rPr>
        <w:t>35</w:t>
      </w:r>
      <w:r>
        <w:rPr>
          <w:rFonts w:hint="eastAsia"/>
        </w:rPr>
        <w:t>分。</w:t>
      </w:r>
    </w:p>
    <w:p>
      <w:pPr>
        <w:pStyle w:val="111"/>
        <w:adjustRightInd w:val="0"/>
        <w:snapToGrid w:val="0"/>
        <w:spacing w:line="380" w:lineRule="exact"/>
        <w:ind w:firstLine="378" w:firstLineChars="180"/>
      </w:pPr>
      <w:r>
        <w:rPr>
          <w:rFonts w:hint="eastAsia"/>
        </w:rPr>
        <w:t>（</w:t>
      </w:r>
      <w:r>
        <w:rPr>
          <w:rFonts w:ascii="Times New Roman" w:hAnsi="Times New Roman"/>
        </w:rP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ascii="Times New Roman" w:hAnsi="Times New Roman"/>
          <w:lang w:val="en-US" w:eastAsia="zh"/>
        </w:rPr>
        <w:t>35</w:t>
      </w:r>
      <w:r>
        <w:rPr>
          <w:rFonts w:hint="eastAsia"/>
        </w:rPr>
        <w:t>分。</w:t>
      </w:r>
    </w:p>
    <w:p>
      <w:pPr>
        <w:pStyle w:val="405"/>
        <w:ind w:firstLine="420" w:firstLineChars="200"/>
        <w:rPr>
          <w:rFonts w:hAnsi="宋体"/>
          <w:b/>
        </w:rPr>
      </w:pPr>
      <w:r>
        <w:rPr>
          <w:rFonts w:hint="eastAsia" w:ascii="Times New Roman" w:hAnsi="Times New Roman"/>
          <w:b/>
          <w:bCs/>
        </w:rPr>
        <w:t>2</w:t>
      </w:r>
      <w:r>
        <w:rPr>
          <w:rFonts w:hint="eastAsia"/>
          <w:b/>
          <w:bCs/>
          <w:lang w:val="en-US" w:eastAsia="zh-CN"/>
        </w:rPr>
        <w:t>.</w:t>
      </w:r>
      <w:r>
        <w:rPr>
          <w:rFonts w:hint="eastAsia"/>
          <w:b/>
          <w:bCs/>
        </w:rPr>
        <w:t>技术分…………………………………………………………………………………………</w:t>
      </w:r>
      <w:r>
        <w:rPr>
          <w:rFonts w:hint="eastAsia" w:ascii="Times New Roman" w:hAnsi="Times New Roman"/>
          <w:b/>
          <w:bCs/>
        </w:rPr>
        <w:t>5</w:t>
      </w:r>
      <w:r>
        <w:rPr>
          <w:rFonts w:hint="eastAsia" w:ascii="Times New Roman" w:hAnsi="Times New Roman"/>
          <w:b/>
          <w:bCs/>
          <w:lang w:val="en-US" w:eastAsia="zh"/>
        </w:rPr>
        <w:t>6</w:t>
      </w:r>
      <w:r>
        <w:rPr>
          <w:rFonts w:hint="eastAsia"/>
          <w:b/>
          <w:bCs/>
        </w:rPr>
        <w:t>分</w:t>
      </w:r>
    </w:p>
    <w:p>
      <w:pPr>
        <w:pStyle w:val="111"/>
        <w:adjustRightInd w:val="0"/>
        <w:snapToGrid w:val="0"/>
        <w:spacing w:line="380" w:lineRule="exact"/>
        <w:ind w:firstLine="378" w:firstLineChars="180"/>
        <w:textAlignment w:val="baseline"/>
        <w:rPr>
          <w:rFonts w:hint="eastAsia"/>
        </w:rPr>
      </w:pPr>
      <w:r>
        <w:rPr>
          <w:rFonts w:hint="eastAsia"/>
        </w:rPr>
        <w:t>（</w:t>
      </w:r>
      <w:r>
        <w:rPr>
          <w:rFonts w:hint="eastAsia" w:ascii="Times New Roman" w:hAnsi="Times New Roman"/>
        </w:rPr>
        <w:t>1</w:t>
      </w:r>
      <w:r>
        <w:rPr>
          <w:rFonts w:hint="eastAsia"/>
        </w:rPr>
        <w:t>）一般技术参数要求响应得分（满分</w:t>
      </w:r>
      <w:r>
        <w:rPr>
          <w:rFonts w:hint="eastAsia" w:ascii="Times New Roman" w:hAnsi="Times New Roman"/>
          <w:lang w:val="en-US" w:eastAsia="zh-CN"/>
        </w:rPr>
        <w:t>2</w:t>
      </w:r>
      <w:r>
        <w:rPr>
          <w:rFonts w:hint="eastAsia" w:ascii="Times New Roman" w:hAnsi="Times New Roman"/>
          <w:lang w:val="en-US" w:eastAsia="zh"/>
        </w:rPr>
        <w:t>9</w:t>
      </w:r>
      <w:r>
        <w:rPr>
          <w:rFonts w:hint="eastAsia"/>
        </w:rPr>
        <w:t>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 w:val="0"/>
          <w:szCs w:val="21"/>
        </w:rPr>
        <w:t>一般技术参数要求响应得分</w:t>
      </w:r>
      <w:r>
        <w:rPr>
          <w:rFonts w:hint="eastAsia" w:ascii="宋体" w:hAnsi="宋体" w:eastAsia="宋体"/>
          <w:bCs w:val="0"/>
          <w:szCs w:val="21"/>
        </w:rPr>
        <w:t>（共计</w:t>
      </w:r>
      <w:r>
        <w:rPr>
          <w:rFonts w:hint="eastAsia" w:ascii="Times New Roman" w:hAnsi="Times New Roman" w:eastAsia="宋体"/>
          <w:bCs w:val="0"/>
          <w:szCs w:val="21"/>
          <w:lang w:val="en-US" w:eastAsia="zh-CN"/>
        </w:rPr>
        <w:t>205</w:t>
      </w:r>
      <w:r>
        <w:rPr>
          <w:rFonts w:hint="eastAsia" w:ascii="宋体" w:hAnsi="宋体" w:eastAsia="宋体"/>
          <w:bCs w:val="0"/>
          <w:szCs w:val="21"/>
        </w:rPr>
        <w:t>项），“</w:t>
      </w:r>
      <w:r>
        <w:rPr>
          <w:rFonts w:hint="eastAsia" w:ascii="宋体" w:hAnsi="宋体" w:eastAsia="宋体"/>
          <w:bCs w:val="0"/>
          <w:szCs w:val="21"/>
          <w:lang w:eastAsia="zh-CN"/>
        </w:rPr>
        <w:t>医用直线加速器</w:t>
      </w:r>
      <w:r>
        <w:rPr>
          <w:rFonts w:hint="eastAsia" w:ascii="宋体" w:hAnsi="宋体" w:eastAsia="宋体"/>
          <w:bCs w:val="0"/>
          <w:szCs w:val="21"/>
        </w:rPr>
        <w:t xml:space="preserve"> ”“主机基本要求 ”“</w:t>
      </w:r>
      <w:r>
        <w:rPr>
          <w:rFonts w:hint="eastAsia" w:ascii="Times New Roman" w:hAnsi="Times New Roman" w:eastAsia="宋体"/>
          <w:bCs w:val="0"/>
          <w:szCs w:val="21"/>
        </w:rPr>
        <w:t>X</w:t>
      </w:r>
      <w:r>
        <w:rPr>
          <w:rFonts w:hint="eastAsia" w:ascii="宋体" w:hAnsi="宋体" w:eastAsia="宋体"/>
          <w:bCs w:val="0"/>
          <w:szCs w:val="21"/>
        </w:rPr>
        <w:t>射线束特性 ”“治疗模式”“机械运动系统”“电动多叶准直器（</w:t>
      </w:r>
      <w:r>
        <w:rPr>
          <w:rFonts w:hint="eastAsia" w:ascii="Times New Roman" w:hAnsi="Times New Roman" w:eastAsia="宋体"/>
          <w:bCs w:val="0"/>
          <w:szCs w:val="21"/>
        </w:rPr>
        <w:t>MLC</w:t>
      </w:r>
      <w:r>
        <w:rPr>
          <w:rFonts w:hint="eastAsia" w:ascii="宋体" w:hAnsi="宋体" w:eastAsia="宋体"/>
          <w:bCs w:val="0"/>
          <w:szCs w:val="21"/>
        </w:rPr>
        <w:t>）系统 ”“治疗床”“四维影像引导系统或</w:t>
      </w:r>
      <w:r>
        <w:rPr>
          <w:rFonts w:hint="eastAsia" w:ascii="Times New Roman" w:hAnsi="Times New Roman" w:eastAsia="宋体"/>
          <w:bCs w:val="0"/>
          <w:szCs w:val="21"/>
        </w:rPr>
        <w:t>IGRT</w:t>
      </w:r>
      <w:r>
        <w:rPr>
          <w:rFonts w:hint="eastAsia" w:ascii="宋体" w:hAnsi="宋体" w:eastAsia="宋体"/>
          <w:bCs w:val="0"/>
          <w:szCs w:val="21"/>
        </w:rPr>
        <w:t>影像系统”“</w:t>
      </w:r>
      <w:r>
        <w:rPr>
          <w:rFonts w:hint="eastAsia" w:ascii="Times New Roman" w:hAnsi="Times New Roman" w:eastAsia="宋体"/>
          <w:bCs w:val="0"/>
          <w:szCs w:val="21"/>
        </w:rPr>
        <w:t>EPID</w:t>
      </w:r>
      <w:r>
        <w:rPr>
          <w:rFonts w:hint="eastAsia" w:ascii="宋体" w:hAnsi="宋体" w:eastAsia="宋体"/>
          <w:bCs w:val="0"/>
          <w:szCs w:val="21"/>
        </w:rPr>
        <w:t>系统”“硬件要求”“</w:t>
      </w:r>
      <w:r>
        <w:rPr>
          <w:rFonts w:hint="eastAsia" w:ascii="宋体" w:hAnsi="宋体" w:eastAsia="宋体"/>
          <w:bCs w:val="0"/>
          <w:szCs w:val="21"/>
          <w:lang w:val="en-US" w:eastAsia="zh-CN"/>
        </w:rPr>
        <w:t>软件要求</w:t>
      </w:r>
      <w:r>
        <w:rPr>
          <w:rFonts w:hint="eastAsia" w:ascii="宋体" w:hAnsi="宋体" w:eastAsia="宋体"/>
          <w:bCs w:val="0"/>
          <w:szCs w:val="21"/>
        </w:rPr>
        <w:t>”“旋转容积调强功能”“具备立体定向放疗功能”“具备呼吸门控治疗系统”“放射治疗计划系统”“放疗专用网络系统”等为技术参数要求的名称描述，不计入一般技术参数要求数量。</w:t>
      </w:r>
    </w:p>
    <w:p>
      <w:pPr>
        <w:pStyle w:val="111"/>
        <w:adjustRightInd w:val="0"/>
        <w:snapToGrid w:val="0"/>
        <w:spacing w:line="380" w:lineRule="exact"/>
        <w:ind w:firstLine="378" w:firstLineChars="180"/>
      </w:pPr>
      <w:r>
        <w:rPr>
          <w:rFonts w:hint="eastAsia" w:ascii="宋体" w:hAnsi="宋体" w:eastAsia="宋体"/>
          <w:bCs w:val="0"/>
          <w:szCs w:val="21"/>
        </w:rPr>
        <w:t>一般技术参数满足</w:t>
      </w:r>
      <w:r>
        <w:rPr>
          <w:rFonts w:hint="eastAsia"/>
          <w:bCs w:val="0"/>
          <w:szCs w:val="21"/>
          <w:lang w:eastAsia="zh-CN"/>
        </w:rPr>
        <w:t>采购需求</w:t>
      </w:r>
      <w:r>
        <w:rPr>
          <w:rFonts w:hint="eastAsia" w:ascii="宋体" w:hAnsi="宋体" w:eastAsia="宋体"/>
          <w:bCs w:val="0"/>
          <w:szCs w:val="21"/>
        </w:rPr>
        <w:t>的，每项</w:t>
      </w:r>
      <w:r>
        <w:rPr>
          <w:rFonts w:hint="eastAsia"/>
          <w:bCs w:val="0"/>
          <w:szCs w:val="21"/>
          <w:lang w:eastAsia="zh-CN"/>
        </w:rPr>
        <w:t>得</w:t>
      </w:r>
      <w:r>
        <w:rPr>
          <w:rFonts w:hint="eastAsia" w:ascii="Times New Roman" w:hAnsi="Times New Roman" w:eastAsia="宋体"/>
          <w:bCs w:val="0"/>
          <w:szCs w:val="21"/>
        </w:rPr>
        <w:t>0</w:t>
      </w:r>
      <w:r>
        <w:rPr>
          <w:rFonts w:hint="eastAsia" w:ascii="宋体" w:hAnsi="宋体" w:eastAsia="宋体"/>
          <w:bCs w:val="0"/>
          <w:szCs w:val="21"/>
        </w:rPr>
        <w:t>.</w:t>
      </w:r>
      <w:r>
        <w:rPr>
          <w:rFonts w:hint="eastAsia" w:ascii="Times New Roman" w:hAnsi="Times New Roman"/>
          <w:bCs w:val="0"/>
          <w:szCs w:val="21"/>
          <w:lang w:val="en-US" w:eastAsia="zh-CN"/>
        </w:rPr>
        <w:t>1</w:t>
      </w:r>
      <w:r>
        <w:rPr>
          <w:rFonts w:hint="eastAsia" w:ascii="Times New Roman" w:hAnsi="Times New Roman"/>
          <w:bCs w:val="0"/>
          <w:szCs w:val="21"/>
          <w:lang w:val="en-US" w:eastAsia="zh"/>
        </w:rPr>
        <w:t>4</w:t>
      </w:r>
      <w:r>
        <w:rPr>
          <w:rFonts w:hint="eastAsia" w:ascii="宋体" w:hAnsi="宋体" w:eastAsia="宋体"/>
          <w:bCs w:val="0"/>
          <w:szCs w:val="21"/>
        </w:rPr>
        <w:t>分。</w:t>
      </w:r>
    </w:p>
    <w:p>
      <w:pPr>
        <w:pStyle w:val="111"/>
        <w:adjustRightInd w:val="0"/>
        <w:snapToGrid w:val="0"/>
        <w:spacing w:line="38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w:t>
      </w:r>
      <w:r>
        <w:rPr>
          <w:rFonts w:hint="eastAsia" w:ascii="Times New Roman" w:hAnsi="Times New Roman"/>
        </w:rPr>
        <w:t>2</w:t>
      </w:r>
      <w:r>
        <w:rPr>
          <w:rFonts w:hint="eastAsia"/>
        </w:rPr>
        <w:t>）重要</w:t>
      </w:r>
      <w:r>
        <w:rPr>
          <w:rFonts w:hint="eastAsia"/>
          <w:lang w:eastAsia="zh-CN"/>
        </w:rPr>
        <w:t>技术</w:t>
      </w:r>
      <w:r>
        <w:rPr>
          <w:rFonts w:hint="eastAsia"/>
        </w:rPr>
        <w:t>参数要求响应得分（满分</w:t>
      </w:r>
      <w:r>
        <w:rPr>
          <w:rFonts w:hint="eastAsia" w:ascii="Times New Roman" w:hAnsi="Times New Roman"/>
          <w:lang w:val="en-US" w:eastAsia="zh"/>
        </w:rPr>
        <w:t>16</w:t>
      </w:r>
      <w:r>
        <w:rPr>
          <w:rFonts w:hint="eastAsia"/>
        </w:rPr>
        <w:t>分）</w:t>
      </w:r>
    </w:p>
    <w:p>
      <w:pPr>
        <w:pStyle w:val="111"/>
        <w:adjustRightInd w:val="0"/>
        <w:snapToGrid w:val="0"/>
        <w:spacing w:line="400" w:lineRule="exact"/>
        <w:ind w:firstLine="378" w:firstLineChars="180"/>
      </w:pPr>
      <w:r>
        <w:rPr>
          <w:rFonts w:hint="eastAsia"/>
        </w:rPr>
        <w:t>重要技术参数要求响应得分（共计</w:t>
      </w:r>
      <w:r>
        <w:rPr>
          <w:rFonts w:hint="eastAsia" w:ascii="Times New Roman" w:hAnsi="Times New Roman"/>
          <w:lang w:val="en-US" w:eastAsia="zh"/>
        </w:rPr>
        <w:t>4</w:t>
      </w:r>
      <w:r>
        <w:rPr>
          <w:rFonts w:hint="eastAsia"/>
        </w:rPr>
        <w:t>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ascii="Times New Roman" w:hAnsi="Times New Roman"/>
          <w:lang w:val="en-US" w:eastAsia="zh-CN"/>
        </w:rPr>
        <w:t>4</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380" w:lineRule="exact"/>
        <w:ind w:firstLine="378" w:firstLineChars="180"/>
      </w:pPr>
      <w:r>
        <w:rPr>
          <w:rFonts w:hint="eastAsia"/>
        </w:rPr>
        <w:t>（</w:t>
      </w:r>
      <w:r>
        <w:rPr>
          <w:rFonts w:hint="eastAsia" w:ascii="Times New Roman" w:hAnsi="Times New Roman"/>
          <w:lang w:val="en-US" w:eastAsia="zh"/>
        </w:rPr>
        <w:t>3</w:t>
      </w:r>
      <w:r>
        <w:rPr>
          <w:rFonts w:hint="eastAsia"/>
        </w:rPr>
        <w:t>）技术及项目实施方案分（满分</w:t>
      </w:r>
      <w:r>
        <w:rPr>
          <w:rFonts w:hint="eastAsia" w:ascii="Times New Roman" w:hAnsi="Times New Roman"/>
        </w:rPr>
        <w:t>4</w:t>
      </w:r>
      <w:r>
        <w:rPr>
          <w:rFonts w:hint="eastAsia"/>
        </w:rPr>
        <w:t>分）</w:t>
      </w:r>
    </w:p>
    <w:p>
      <w:pPr>
        <w:pStyle w:val="111"/>
        <w:snapToGrid w:val="0"/>
        <w:spacing w:line="38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Times New Roman" w:hAnsi="Times New Roman"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Times New Roman" w:hAnsi="Times New Roman"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38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Times New Roman" w:hAnsi="Times New Roman"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380" w:lineRule="exact"/>
        <w:ind w:firstLine="378" w:firstLineChars="180"/>
        <w:rPr>
          <w:rFonts w:hint="eastAsia"/>
        </w:rPr>
      </w:pPr>
      <w:r>
        <w:rPr>
          <w:rFonts w:hint="eastAsia"/>
        </w:rPr>
        <w:t>（</w:t>
      </w:r>
      <w:r>
        <w:rPr>
          <w:rFonts w:hint="eastAsia" w:ascii="Times New Roman" w:hAnsi="Times New Roman"/>
          <w:lang w:val="en-US" w:eastAsia="zh"/>
        </w:rPr>
        <w:t>4</w:t>
      </w:r>
      <w:r>
        <w:rPr>
          <w:rFonts w:hint="eastAsia"/>
        </w:rPr>
        <w:t>）技术人员分（满分</w:t>
      </w:r>
      <w:r>
        <w:rPr>
          <w:rFonts w:hint="eastAsia" w:ascii="Times New Roman" w:hAnsi="Times New Roman"/>
        </w:rPr>
        <w:t>4</w:t>
      </w:r>
      <w:r>
        <w:rPr>
          <w:rFonts w:hint="eastAsia"/>
        </w:rPr>
        <w:t>分）</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一档（</w:t>
      </w:r>
      <w:r>
        <w:rPr>
          <w:rFonts w:hint="eastAsia" w:ascii="Times New Roman" w:hAnsi="Times New Roman" w:eastAsia="宋体" w:cs="Times New Roman"/>
          <w:szCs w:val="21"/>
        </w:rPr>
        <w:t>1</w:t>
      </w:r>
      <w:r>
        <w:rPr>
          <w:rFonts w:hint="eastAsia" w:ascii="宋体" w:hAnsi="宋体" w:eastAsia="宋体" w:cs="Times New Roman"/>
          <w:szCs w:val="21"/>
        </w:rPr>
        <w:t xml:space="preserve">分）：技术人员投入计划，技术人员在安装调试过程提供技术支持和协助计划，拟派技术人员的经验介绍等方案内容齐全，符合基础条件的。 </w:t>
      </w:r>
    </w:p>
    <w:p>
      <w:pPr>
        <w:pStyle w:val="111"/>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w:t>
      </w:r>
      <w:r>
        <w:rPr>
          <w:rFonts w:hint="eastAsia" w:ascii="Times New Roman" w:hAnsi="Times New Roman" w:eastAsia="宋体" w:cs="Times New Roman"/>
          <w:szCs w:val="21"/>
        </w:rPr>
        <w:t>2</w:t>
      </w:r>
      <w:r>
        <w:rPr>
          <w:rFonts w:hint="eastAsia" w:ascii="宋体" w:hAnsi="宋体" w:eastAsia="宋体" w:cs="Times New Roman"/>
          <w:szCs w:val="21"/>
        </w:rPr>
        <w:t>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38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w:t>
      </w:r>
      <w:r>
        <w:rPr>
          <w:rFonts w:hint="eastAsia" w:ascii="Times New Roman" w:hAnsi="Times New Roman" w:eastAsia="宋体" w:cs="Times New Roman"/>
          <w:szCs w:val="21"/>
        </w:rPr>
        <w:t>4</w:t>
      </w:r>
      <w:r>
        <w:rPr>
          <w:rFonts w:hint="eastAsia" w:ascii="宋体" w:hAnsi="宋体" w:eastAsia="宋体" w:cs="Times New Roman"/>
          <w:szCs w:val="21"/>
        </w:rPr>
        <w:t>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spacing w:line="380" w:lineRule="exact"/>
        <w:ind w:firstLine="378" w:firstLineChars="180"/>
      </w:pPr>
      <w:r>
        <w:rPr>
          <w:rFonts w:hint="eastAsia"/>
        </w:rPr>
        <w:t>（</w:t>
      </w:r>
      <w:r>
        <w:rPr>
          <w:rFonts w:hint="eastAsia" w:ascii="Times New Roman" w:hAnsi="Times New Roman"/>
          <w:lang w:val="en-US" w:eastAsia="zh"/>
        </w:rPr>
        <w:t>5</w:t>
      </w:r>
      <w:r>
        <w:rPr>
          <w:rFonts w:hint="eastAsia"/>
        </w:rPr>
        <w:t>）培训计划分（满分</w:t>
      </w:r>
      <w:r>
        <w:rPr>
          <w:rFonts w:hint="eastAsia" w:ascii="Times New Roman" w:hAnsi="Times New Roman"/>
        </w:rPr>
        <w:t>3</w:t>
      </w:r>
      <w:r>
        <w:rPr>
          <w:rFonts w:hint="eastAsia"/>
        </w:rPr>
        <w:t>分）</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w:t>
      </w:r>
      <w:r>
        <w:rPr>
          <w:rFonts w:hint="eastAsia" w:ascii="Times New Roman" w:hAnsi="Times New Roman" w:eastAsia="宋体"/>
          <w:bCs w:val="0"/>
          <w:kern w:val="0"/>
          <w:szCs w:val="21"/>
        </w:rPr>
        <w:t>1</w:t>
      </w:r>
      <w:r>
        <w:rPr>
          <w:rFonts w:hint="eastAsia" w:ascii="宋体" w:hAnsi="宋体" w:eastAsia="宋体"/>
          <w:bCs w:val="0"/>
          <w:kern w:val="0"/>
          <w:szCs w:val="21"/>
        </w:rPr>
        <w:t>分）：培训方案有简单的培训计划安排，能满足基本要求。</w:t>
      </w:r>
    </w:p>
    <w:p>
      <w:pPr>
        <w:spacing w:line="38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w:t>
      </w:r>
      <w:r>
        <w:rPr>
          <w:rFonts w:hint="eastAsia" w:ascii="Times New Roman" w:hAnsi="Times New Roman" w:eastAsia="宋体"/>
          <w:bCs w:val="0"/>
          <w:kern w:val="0"/>
          <w:szCs w:val="21"/>
        </w:rPr>
        <w:t>3</w:t>
      </w:r>
      <w:r>
        <w:rPr>
          <w:rFonts w:hint="eastAsia" w:ascii="宋体" w:hAnsi="宋体" w:eastAsia="宋体"/>
          <w:bCs w:val="0"/>
          <w:kern w:val="0"/>
          <w:szCs w:val="21"/>
        </w:rPr>
        <w:t>分）：培训方案应全面、详细，方案内容至少包含：拟派培训人员的安排及介绍、培训时间、规模人数、设备功能理论、简单故障排除等内容。</w:t>
      </w:r>
    </w:p>
    <w:p>
      <w:pPr>
        <w:pStyle w:val="111"/>
        <w:adjustRightInd w:val="0"/>
        <w:snapToGrid w:val="0"/>
        <w:spacing w:line="380" w:lineRule="exact"/>
        <w:ind w:firstLine="378" w:firstLineChars="180"/>
        <w:rPr>
          <w:rFonts w:hint="eastAsia"/>
        </w:rPr>
      </w:pPr>
      <w:r>
        <w:rPr>
          <w:rFonts w:hint="default" w:ascii="宋体" w:hAnsi="宋体" w:eastAsia="宋体" w:cs="Times New Roman"/>
          <w:b/>
          <w:bCs/>
        </w:rPr>
        <w:t>未提供或有明显错误的不得分。</w:t>
      </w:r>
    </w:p>
    <w:p>
      <w:pPr>
        <w:pStyle w:val="405"/>
        <w:spacing w:line="380" w:lineRule="exact"/>
        <w:ind w:firstLine="420" w:firstLineChars="200"/>
        <w:rPr>
          <w:rFonts w:ascii="宋体" w:hAnsi="宋体"/>
        </w:rPr>
      </w:pPr>
      <w:r>
        <w:rPr>
          <w:rFonts w:hint="eastAsia" w:ascii="Times New Roman" w:hAnsi="Times New Roman"/>
          <w:b/>
          <w:bCs/>
        </w:rPr>
        <w:t>3</w:t>
      </w:r>
      <w:r>
        <w:rPr>
          <w:rFonts w:hint="eastAsia"/>
          <w:b/>
          <w:bCs/>
          <w:lang w:val="en-US" w:eastAsia="zh-CN"/>
        </w:rPr>
        <w:t>.</w:t>
      </w:r>
      <w:r>
        <w:rPr>
          <w:rFonts w:hint="eastAsia"/>
          <w:b/>
          <w:bCs/>
        </w:rPr>
        <w:t>售后服务分……………………………………………………………………………………</w:t>
      </w:r>
      <w:r>
        <w:rPr>
          <w:rFonts w:hint="eastAsia" w:ascii="Times New Roman" w:hAnsi="Times New Roman"/>
          <w:b/>
          <w:bCs/>
        </w:rPr>
        <w:t>5</w:t>
      </w:r>
      <w:r>
        <w:rPr>
          <w:rFonts w:hint="eastAsia"/>
          <w:b/>
          <w:bCs/>
        </w:rPr>
        <w:t>分</w:t>
      </w:r>
    </w:p>
    <w:p>
      <w:pPr>
        <w:pStyle w:val="111"/>
        <w:adjustRightInd w:val="0"/>
        <w:snapToGrid w:val="0"/>
        <w:spacing w:line="380" w:lineRule="exact"/>
        <w:ind w:firstLine="378" w:firstLineChars="180"/>
      </w:pPr>
      <w:r>
        <w:rPr>
          <w:rFonts w:hint="eastAsia"/>
        </w:rPr>
        <w:t>（</w:t>
      </w:r>
      <w:r>
        <w:rPr>
          <w:rFonts w:hint="eastAsia" w:ascii="Times New Roman" w:hAnsi="Times New Roman"/>
        </w:rPr>
        <w:t>1</w:t>
      </w:r>
      <w:r>
        <w:rPr>
          <w:rFonts w:hint="eastAsia"/>
        </w:rPr>
        <w:t>）售后服务承诺分（满分</w:t>
      </w:r>
      <w:r>
        <w:rPr>
          <w:rFonts w:hint="eastAsia" w:ascii="Times New Roman" w:hAnsi="Times New Roman"/>
        </w:rPr>
        <w:t>3</w:t>
      </w:r>
      <w:r>
        <w:rPr>
          <w:rFonts w:hint="eastAsia"/>
        </w:rPr>
        <w:t>分）</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w:t>
      </w:r>
      <w:r>
        <w:rPr>
          <w:rFonts w:hint="eastAsia" w:ascii="Times New Roman" w:hAnsi="Times New Roman" w:eastAsia="宋体" w:cs="Times New Roman"/>
          <w:kern w:val="0"/>
          <w:szCs w:val="21"/>
        </w:rPr>
        <w:t>1</w:t>
      </w:r>
      <w:r>
        <w:rPr>
          <w:rFonts w:hint="eastAsia" w:ascii="宋体" w:hAnsi="宋体" w:eastAsia="宋体" w:cs="Times New Roman"/>
          <w:kern w:val="0"/>
          <w:szCs w:val="21"/>
        </w:rPr>
        <w:t>分）：售后服务方案仅满足招标文件基本要求。</w:t>
      </w:r>
    </w:p>
    <w:p>
      <w:pPr>
        <w:spacing w:line="38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w:t>
      </w:r>
      <w:r>
        <w:rPr>
          <w:rFonts w:hint="eastAsia" w:ascii="Times New Roman" w:hAnsi="Times New Roman" w:eastAsia="宋体" w:cs="Times New Roman"/>
          <w:kern w:val="0"/>
          <w:szCs w:val="21"/>
        </w:rPr>
        <w:t>3</w:t>
      </w:r>
      <w:r>
        <w:rPr>
          <w:rFonts w:hint="eastAsia" w:ascii="宋体" w:hAnsi="宋体" w:eastAsia="宋体" w:cs="Times New Roman"/>
          <w:kern w:val="0"/>
          <w:szCs w:val="21"/>
        </w:rPr>
        <w:t>分）：售后服务方案细致、合理、可行，能提供生产厂家售后服务承诺书原件，有详细的售后服务管理制度、售后服务流程、应急预案、年度保养计划、发生故障时提供备用机或其他替代解决的具体措施、质量保障方案。</w:t>
      </w:r>
    </w:p>
    <w:p>
      <w:pPr>
        <w:spacing w:line="380" w:lineRule="exact"/>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380" w:lineRule="exact"/>
        <w:ind w:firstLine="378" w:firstLineChars="180"/>
      </w:pPr>
      <w:r>
        <w:rPr>
          <w:rFonts w:hint="eastAsia"/>
        </w:rPr>
        <w:t>（</w:t>
      </w:r>
      <w:r>
        <w:rPr>
          <w:rFonts w:hint="eastAsia" w:ascii="Times New Roman" w:hAnsi="Times New Roman"/>
        </w:rPr>
        <w:t>2</w:t>
      </w:r>
      <w:r>
        <w:rPr>
          <w:rFonts w:hint="eastAsia"/>
        </w:rPr>
        <w:t>）质保期（保修期）（满分</w:t>
      </w:r>
      <w:r>
        <w:rPr>
          <w:rFonts w:hint="eastAsia" w:ascii="Times New Roman" w:hAnsi="Times New Roman"/>
        </w:rPr>
        <w:t>2</w:t>
      </w:r>
      <w:r>
        <w:rPr>
          <w:rFonts w:hint="eastAsia"/>
        </w:rPr>
        <w:t>分）</w:t>
      </w:r>
    </w:p>
    <w:p>
      <w:pPr>
        <w:pStyle w:val="111"/>
        <w:adjustRightInd w:val="0"/>
        <w:snapToGrid w:val="0"/>
        <w:spacing w:line="380" w:lineRule="exact"/>
        <w:ind w:firstLine="378" w:firstLineChars="180"/>
        <w:rPr>
          <w:rFonts w:hint="eastAsia"/>
        </w:rPr>
      </w:pPr>
      <w:r>
        <w:rPr>
          <w:rFonts w:hint="eastAsia" w:ascii="宋体" w:hAnsi="宋体" w:eastAsia="宋体"/>
          <w:bCs w:val="0"/>
        </w:rPr>
        <w:t>在满足基本质保期（保修期）（</w:t>
      </w:r>
      <w:r>
        <w:rPr>
          <w:rFonts w:hint="eastAsia" w:ascii="Times New Roman" w:hAnsi="Times New Roman" w:eastAsia="宋体"/>
          <w:bCs w:val="0"/>
        </w:rPr>
        <w:t>3</w:t>
      </w:r>
      <w:r>
        <w:rPr>
          <w:rFonts w:hint="eastAsia" w:ascii="宋体" w:hAnsi="宋体" w:eastAsia="宋体"/>
          <w:bCs w:val="0"/>
        </w:rPr>
        <w:t>年）的基础上，免费保修期每延长</w:t>
      </w:r>
      <w:r>
        <w:rPr>
          <w:rFonts w:hint="eastAsia" w:ascii="Times New Roman" w:hAnsi="Times New Roman" w:eastAsia="宋体"/>
          <w:bCs w:val="0"/>
        </w:rPr>
        <w:t>6</w:t>
      </w:r>
      <w:r>
        <w:rPr>
          <w:rFonts w:hint="eastAsia" w:ascii="宋体" w:hAnsi="宋体" w:eastAsia="宋体"/>
          <w:bCs w:val="0"/>
        </w:rPr>
        <w:t>个月得</w:t>
      </w:r>
      <w:r>
        <w:rPr>
          <w:rFonts w:hint="eastAsia" w:ascii="Times New Roman" w:hAnsi="Times New Roman" w:eastAsia="宋体"/>
          <w:bCs w:val="0"/>
        </w:rPr>
        <w:t>0</w:t>
      </w:r>
      <w:r>
        <w:rPr>
          <w:rFonts w:hint="eastAsia" w:ascii="宋体" w:hAnsi="宋体" w:eastAsia="宋体"/>
          <w:bCs w:val="0"/>
        </w:rPr>
        <w:t>.</w:t>
      </w:r>
      <w:r>
        <w:rPr>
          <w:rFonts w:hint="eastAsia" w:ascii="Times New Roman" w:hAnsi="Times New Roman" w:eastAsia="宋体"/>
          <w:bCs w:val="0"/>
        </w:rPr>
        <w:t>5</w:t>
      </w:r>
      <w:r>
        <w:rPr>
          <w:rFonts w:hint="eastAsia" w:ascii="宋体" w:hAnsi="宋体" w:eastAsia="宋体"/>
          <w:bCs w:val="0"/>
        </w:rPr>
        <w:t>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w:t>
      </w:r>
      <w:r>
        <w:rPr>
          <w:rFonts w:hint="eastAsia" w:ascii="Times New Roman" w:hAnsi="Times New Roman" w:eastAsia="宋体"/>
          <w:bCs w:val="0"/>
        </w:rPr>
        <w:t>2</w:t>
      </w:r>
      <w:r>
        <w:rPr>
          <w:rFonts w:hint="eastAsia" w:ascii="宋体" w:hAnsi="宋体" w:eastAsia="宋体"/>
          <w:bCs w:val="0"/>
        </w:rPr>
        <w:t>分。</w:t>
      </w:r>
    </w:p>
    <w:p>
      <w:pPr>
        <w:pStyle w:val="405"/>
        <w:ind w:firstLine="420" w:firstLineChars="200"/>
        <w:rPr>
          <w:rFonts w:ascii="宋体" w:hAnsi="宋体"/>
        </w:rPr>
      </w:pPr>
      <w:r>
        <w:rPr>
          <w:rFonts w:hint="eastAsia" w:ascii="Times New Roman" w:hAnsi="Times New Roman"/>
          <w:b/>
          <w:bCs/>
        </w:rPr>
        <w:t>4</w:t>
      </w:r>
      <w:r>
        <w:rPr>
          <w:rFonts w:hint="eastAsia"/>
          <w:b/>
          <w:bCs/>
          <w:lang w:val="en-US" w:eastAsia="zh-CN"/>
        </w:rPr>
        <w:t>.</w:t>
      </w:r>
      <w:r>
        <w:rPr>
          <w:rFonts w:hint="eastAsia"/>
          <w:b/>
          <w:bCs/>
        </w:rPr>
        <w:t>信誉分…………………………………………………………………………………………</w:t>
      </w:r>
      <w:r>
        <w:rPr>
          <w:rFonts w:hint="eastAsia" w:ascii="Times New Roman" w:hAnsi="Times New Roman"/>
          <w:b/>
          <w:bCs/>
        </w:rPr>
        <w:t>3</w:t>
      </w:r>
      <w:r>
        <w:rPr>
          <w:rFonts w:hint="eastAsia"/>
          <w:b/>
          <w:bCs/>
        </w:rPr>
        <w:t>分</w:t>
      </w:r>
    </w:p>
    <w:p>
      <w:pPr>
        <w:pStyle w:val="111"/>
        <w:adjustRightInd w:val="0"/>
        <w:snapToGrid w:val="0"/>
        <w:spacing w:line="380" w:lineRule="exact"/>
        <w:ind w:firstLine="378" w:firstLineChars="180"/>
      </w:pPr>
      <w:r>
        <w:rPr>
          <w:rFonts w:hint="eastAsia"/>
        </w:rPr>
        <w:t>信誉及业绩（满分</w:t>
      </w:r>
      <w:r>
        <w:rPr>
          <w:rFonts w:hint="eastAsia" w:ascii="Times New Roman" w:hAnsi="Times New Roman"/>
        </w:rPr>
        <w:t>3</w:t>
      </w:r>
      <w:r>
        <w:rPr>
          <w:rFonts w:hint="eastAsia"/>
        </w:rPr>
        <w:t>分）</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Times New Roman" w:hAnsi="Times New Roman" w:eastAsia="宋体" w:cs="宋体"/>
          <w:szCs w:val="21"/>
        </w:rPr>
        <w:t>1</w:t>
      </w:r>
      <w:r>
        <w:rPr>
          <w:rFonts w:hint="eastAsia" w:ascii="宋体" w:hAnsi="宋体" w:eastAsia="宋体" w:cs="宋体"/>
          <w:szCs w:val="21"/>
        </w:rPr>
        <w:t>）投标人通过</w:t>
      </w:r>
      <w:r>
        <w:rPr>
          <w:rFonts w:hint="eastAsia" w:ascii="Times New Roman" w:hAnsi="Times New Roman" w:eastAsia="宋体" w:cs="宋体"/>
          <w:szCs w:val="21"/>
        </w:rPr>
        <w:t>ISO9001</w:t>
      </w:r>
      <w:r>
        <w:rPr>
          <w:rFonts w:hint="eastAsia" w:ascii="宋体" w:hAnsi="宋体" w:eastAsia="宋体" w:cs="宋体"/>
          <w:szCs w:val="21"/>
        </w:rPr>
        <w:t>系列国际质量体系认证、</w:t>
      </w:r>
      <w:r>
        <w:rPr>
          <w:rFonts w:hint="eastAsia" w:ascii="Times New Roman" w:hAnsi="Times New Roman" w:eastAsia="宋体" w:cs="宋体"/>
          <w:szCs w:val="21"/>
        </w:rPr>
        <w:t>ISO13485</w:t>
      </w:r>
      <w:r>
        <w:rPr>
          <w:rFonts w:hint="eastAsia" w:ascii="宋体" w:hAnsi="宋体" w:eastAsia="宋体" w:cs="宋体"/>
          <w:szCs w:val="21"/>
        </w:rPr>
        <w:t>医疗器械质量管理体系认证及</w:t>
      </w:r>
      <w:r>
        <w:rPr>
          <w:rFonts w:hint="eastAsia" w:ascii="Times New Roman" w:hAnsi="Times New Roman" w:eastAsia="宋体" w:cs="宋体"/>
          <w:szCs w:val="21"/>
        </w:rPr>
        <w:t>ISO</w:t>
      </w:r>
      <w:r>
        <w:rPr>
          <w:rFonts w:hint="eastAsia" w:ascii="宋体" w:hAnsi="宋体" w:eastAsia="宋体" w:cs="宋体"/>
          <w:szCs w:val="21"/>
        </w:rPr>
        <w:t xml:space="preserve"> </w:t>
      </w:r>
      <w:r>
        <w:rPr>
          <w:rFonts w:hint="eastAsia" w:ascii="Times New Roman" w:hAnsi="Times New Roman" w:eastAsia="宋体" w:cs="宋体"/>
          <w:szCs w:val="21"/>
        </w:rPr>
        <w:t>14001</w:t>
      </w:r>
      <w:r>
        <w:rPr>
          <w:rFonts w:hint="eastAsia" w:ascii="宋体" w:hAnsi="宋体" w:eastAsia="宋体" w:cs="宋体"/>
          <w:szCs w:val="21"/>
        </w:rPr>
        <w:t>环境管理体系认证的，每有</w:t>
      </w:r>
      <w:r>
        <w:rPr>
          <w:rFonts w:hint="eastAsia" w:ascii="Times New Roman" w:hAnsi="Times New Roman" w:eastAsia="宋体" w:cs="宋体"/>
          <w:szCs w:val="21"/>
        </w:rPr>
        <w:t>1</w:t>
      </w:r>
      <w:r>
        <w:rPr>
          <w:rFonts w:hint="eastAsia" w:ascii="宋体" w:hAnsi="宋体" w:eastAsia="宋体" w:cs="宋体"/>
          <w:szCs w:val="21"/>
        </w:rPr>
        <w:t>项得</w:t>
      </w:r>
      <w:r>
        <w:rPr>
          <w:rFonts w:hint="eastAsia" w:ascii="Times New Roman" w:hAnsi="Times New Roman" w:eastAsia="宋体" w:cs="宋体"/>
          <w:szCs w:val="21"/>
        </w:rPr>
        <w:t>0</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分，满分</w:t>
      </w:r>
      <w:r>
        <w:rPr>
          <w:rFonts w:hint="eastAsia" w:ascii="Times New Roman" w:hAnsi="Times New Roman" w:eastAsia="宋体" w:cs="宋体"/>
          <w:szCs w:val="21"/>
        </w:rPr>
        <w:t>1</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w:t>
      </w:r>
    </w:p>
    <w:p>
      <w:pPr>
        <w:spacing w:line="38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Times New Roman" w:hAnsi="Times New Roman" w:eastAsia="宋体" w:cs="宋体"/>
          <w:szCs w:val="21"/>
        </w:rPr>
        <w:t>2</w:t>
      </w:r>
      <w:r>
        <w:rPr>
          <w:rFonts w:hint="eastAsia" w:ascii="宋体" w:hAnsi="宋体" w:eastAsia="宋体" w:cs="宋体"/>
          <w:szCs w:val="21"/>
        </w:rPr>
        <w:t>）投标人</w:t>
      </w:r>
      <w:r>
        <w:rPr>
          <w:rFonts w:hint="eastAsia" w:ascii="Times New Roman" w:hAnsi="Times New Roman" w:eastAsia="宋体" w:cs="宋体"/>
          <w:szCs w:val="21"/>
        </w:rPr>
        <w:t>202</w:t>
      </w:r>
      <w:r>
        <w:rPr>
          <w:rFonts w:hint="eastAsia" w:ascii="Times New Roman" w:hAnsi="Times New Roman" w:cs="宋体"/>
          <w:szCs w:val="21"/>
          <w:lang w:val="en-US" w:eastAsia="zh"/>
        </w:rPr>
        <w:t>2</w:t>
      </w:r>
      <w:r>
        <w:rPr>
          <w:rFonts w:hint="eastAsia" w:ascii="宋体" w:hAnsi="宋体" w:eastAsia="宋体" w:cs="宋体"/>
          <w:szCs w:val="21"/>
        </w:rPr>
        <w:t>年</w:t>
      </w:r>
      <w:r>
        <w:rPr>
          <w:rFonts w:hint="eastAsia" w:ascii="Times New Roman" w:hAnsi="Times New Roman" w:eastAsia="宋体" w:cs="宋体"/>
          <w:szCs w:val="21"/>
        </w:rPr>
        <w:t>1</w:t>
      </w:r>
      <w:r>
        <w:rPr>
          <w:rFonts w:hint="eastAsia" w:ascii="宋体" w:hAnsi="宋体" w:eastAsia="宋体" w:cs="宋体"/>
          <w:szCs w:val="21"/>
        </w:rPr>
        <w:t>月</w:t>
      </w:r>
      <w:r>
        <w:rPr>
          <w:rFonts w:hint="eastAsia" w:ascii="Times New Roman" w:hAnsi="Times New Roman" w:eastAsia="宋体" w:cs="宋体"/>
          <w:szCs w:val="21"/>
        </w:rPr>
        <w:t>1</w:t>
      </w:r>
      <w:r>
        <w:rPr>
          <w:rFonts w:hint="eastAsia" w:ascii="宋体" w:hAnsi="宋体" w:eastAsia="宋体" w:cs="宋体"/>
          <w:szCs w:val="21"/>
        </w:rPr>
        <w:t>日至今同类项目（同类项目业绩指与采购标的产品相同类型设备的业绩）业绩，每有</w:t>
      </w:r>
      <w:r>
        <w:rPr>
          <w:rFonts w:hint="eastAsia" w:ascii="Times New Roman" w:hAnsi="Times New Roman" w:eastAsia="宋体" w:cs="宋体"/>
          <w:szCs w:val="21"/>
        </w:rPr>
        <w:t>1</w:t>
      </w:r>
      <w:r>
        <w:rPr>
          <w:rFonts w:hint="eastAsia" w:ascii="宋体" w:hAnsi="宋体" w:eastAsia="宋体" w:cs="宋体"/>
          <w:szCs w:val="21"/>
        </w:rPr>
        <w:t>项得</w:t>
      </w:r>
      <w:r>
        <w:rPr>
          <w:rFonts w:hint="eastAsia" w:ascii="Times New Roman" w:hAnsi="Times New Roman" w:eastAsia="宋体" w:cs="宋体"/>
          <w:szCs w:val="21"/>
        </w:rPr>
        <w:t>0</w:t>
      </w:r>
      <w:r>
        <w:rPr>
          <w:rFonts w:hint="eastAsia" w:ascii="宋体" w:hAnsi="宋体" w:eastAsia="宋体" w:cs="宋体"/>
          <w:szCs w:val="21"/>
        </w:rPr>
        <w:t>.</w:t>
      </w:r>
      <w:r>
        <w:rPr>
          <w:rFonts w:hint="eastAsia" w:ascii="Times New Roman" w:hAnsi="Times New Roman" w:eastAsia="宋体" w:cs="宋体"/>
          <w:szCs w:val="21"/>
        </w:rPr>
        <w:t>3</w:t>
      </w:r>
      <w:r>
        <w:rPr>
          <w:rFonts w:hint="eastAsia" w:ascii="宋体" w:hAnsi="宋体" w:eastAsia="宋体" w:cs="宋体"/>
          <w:szCs w:val="21"/>
        </w:rPr>
        <w:t>分，满分</w:t>
      </w:r>
      <w:r>
        <w:rPr>
          <w:rFonts w:hint="eastAsia" w:ascii="Times New Roman" w:hAnsi="Times New Roman" w:eastAsia="宋体" w:cs="宋体"/>
          <w:szCs w:val="21"/>
        </w:rPr>
        <w:t>1</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ascii="Times New Roman" w:hAnsi="Times New Roman"/>
          <w:b/>
          <w:bCs/>
        </w:rPr>
        <w:t>5</w:t>
      </w:r>
      <w:r>
        <w:rPr>
          <w:rFonts w:hint="eastAsia"/>
          <w:b/>
          <w:bCs/>
          <w:lang w:val="en-US" w:eastAsia="zh-CN"/>
        </w:rPr>
        <w:t>.</w:t>
      </w:r>
      <w:r>
        <w:rPr>
          <w:rFonts w:hint="eastAsia"/>
          <w:b/>
          <w:bCs/>
        </w:rPr>
        <w:t>政策功能分……………………………………………………………………………………</w:t>
      </w:r>
      <w:r>
        <w:rPr>
          <w:rFonts w:hint="eastAsia" w:ascii="Times New Roman" w:hAnsi="Times New Roman"/>
          <w:b/>
          <w:bCs/>
        </w:rPr>
        <w:t>1</w:t>
      </w:r>
      <w:r>
        <w:rPr>
          <w:rFonts w:hint="eastAsia"/>
          <w:b/>
          <w:bCs/>
        </w:rPr>
        <w:t>分</w:t>
      </w:r>
    </w:p>
    <w:p>
      <w:pPr>
        <w:pStyle w:val="111"/>
        <w:adjustRightInd w:val="0"/>
        <w:snapToGrid w:val="0"/>
        <w:spacing w:line="400" w:lineRule="exact"/>
        <w:ind w:firstLine="378" w:firstLineChars="180"/>
      </w:pPr>
      <w:r>
        <w:rPr>
          <w:rFonts w:hint="eastAsia"/>
        </w:rPr>
        <w:t>节能、环保分（满分</w:t>
      </w:r>
      <w:r>
        <w:rPr>
          <w:rFonts w:hint="eastAsia" w:ascii="Times New Roman" w:hAnsi="Times New Roman"/>
        </w:rPr>
        <w:t>1</w:t>
      </w:r>
      <w:r>
        <w:rPr>
          <w:rFonts w:hint="eastAsia"/>
        </w:rPr>
        <w:t>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w:t>
      </w:r>
      <w:r>
        <w:rPr>
          <w:rFonts w:hint="eastAsia" w:ascii="Times New Roman" w:hAnsi="Times New Roman" w:eastAsia="宋体" w:cs="宋体"/>
          <w:szCs w:val="21"/>
        </w:rPr>
        <w:t>1</w:t>
      </w:r>
      <w:r>
        <w:rPr>
          <w:rFonts w:hint="eastAsia" w:ascii="宋体" w:hAnsi="宋体" w:eastAsia="宋体" w:cs="宋体"/>
          <w:szCs w:val="21"/>
        </w:rPr>
        <w:t>）</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w:t>
      </w:r>
      <w:r>
        <w:rPr>
          <w:rFonts w:hint="eastAsia" w:ascii="Times New Roman" w:hAnsi="Times New Roman" w:eastAsia="宋体" w:cs="宋体"/>
          <w:szCs w:val="21"/>
        </w:rPr>
        <w:t>0</w:t>
      </w:r>
      <w:r>
        <w:rPr>
          <w:rFonts w:hint="eastAsia" w:ascii="宋体" w:hAnsi="宋体" w:eastAsia="宋体" w:cs="宋体"/>
          <w:szCs w:val="21"/>
        </w:rPr>
        <w:t>.</w:t>
      </w:r>
      <w:r>
        <w:rPr>
          <w:rFonts w:hint="eastAsia" w:ascii="Times New Roman" w:hAnsi="Times New Roman" w:eastAsia="宋体" w:cs="宋体"/>
          <w:szCs w:val="21"/>
        </w:rPr>
        <w:t>5</w:t>
      </w:r>
      <w:r>
        <w:rPr>
          <w:rFonts w:hint="eastAsia" w:ascii="宋体" w:hAnsi="宋体" w:eastAsia="宋体" w:cs="宋体"/>
          <w:szCs w:val="21"/>
        </w:rPr>
        <w:t>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w:t>
      </w:r>
      <w:r>
        <w:rPr>
          <w:rFonts w:hint="eastAsia" w:ascii="Times New Roman" w:hAnsi="Times New Roman" w:eastAsia="宋体" w:cs="宋体"/>
        </w:rPr>
        <w:t>2</w:t>
      </w:r>
      <w:r>
        <w:rPr>
          <w:rFonts w:hint="eastAsia" w:ascii="宋体" w:hAnsi="宋体" w:eastAsia="宋体" w:cs="宋体"/>
        </w:rPr>
        <w:t>）</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w:t>
      </w:r>
      <w:r>
        <w:rPr>
          <w:rFonts w:hint="eastAsia" w:ascii="Times New Roman" w:hAnsi="Times New Roman" w:eastAsia="宋体" w:cs="宋体"/>
        </w:rPr>
        <w:t>0</w:t>
      </w:r>
      <w:r>
        <w:rPr>
          <w:rFonts w:hint="eastAsia" w:ascii="宋体" w:hAnsi="宋体" w:eastAsia="宋体" w:cs="宋体"/>
        </w:rPr>
        <w:t>.</w:t>
      </w:r>
      <w:r>
        <w:rPr>
          <w:rFonts w:hint="eastAsia" w:ascii="Times New Roman" w:hAnsi="Times New Roman" w:eastAsia="宋体" w:cs="宋体"/>
        </w:rPr>
        <w:t>5</w:t>
      </w:r>
      <w:r>
        <w:rPr>
          <w:rFonts w:hint="eastAsia" w:ascii="宋体" w:hAnsi="宋体" w:eastAsia="宋体" w:cs="宋体"/>
        </w:rPr>
        <w:t>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w:t>
      </w:r>
      <w:r>
        <w:rPr>
          <w:rFonts w:hint="eastAsia" w:ascii="Times New Roman" w:hAnsi="Times New Roman"/>
          <w:b/>
        </w:rPr>
        <w:t>1</w:t>
      </w:r>
      <w:r>
        <w:rPr>
          <w:rFonts w:hint="eastAsia" w:hAnsi="宋体"/>
          <w:b/>
        </w:rPr>
        <w:t xml:space="preserve">+ </w:t>
      </w:r>
      <w:r>
        <w:rPr>
          <w:rFonts w:hint="eastAsia" w:ascii="Times New Roman" w:hAnsi="Times New Roman"/>
          <w:b/>
        </w:rPr>
        <w:t>2</w:t>
      </w:r>
      <w:r>
        <w:rPr>
          <w:rFonts w:hint="eastAsia" w:hAnsi="宋体"/>
          <w:b/>
        </w:rPr>
        <w:t xml:space="preserve">+ </w:t>
      </w:r>
      <w:r>
        <w:rPr>
          <w:rFonts w:hint="eastAsia" w:ascii="Times New Roman" w:hAnsi="Times New Roman"/>
          <w:b/>
        </w:rPr>
        <w:t>3</w:t>
      </w:r>
      <w:r>
        <w:rPr>
          <w:rFonts w:hint="eastAsia" w:hAnsi="宋体"/>
          <w:b/>
        </w:rPr>
        <w:t xml:space="preserve">+ </w:t>
      </w:r>
      <w:r>
        <w:rPr>
          <w:rFonts w:hint="eastAsia" w:ascii="Times New Roman" w:hAnsi="Times New Roman"/>
          <w:b/>
        </w:rPr>
        <w:t>4</w:t>
      </w:r>
      <w:r>
        <w:rPr>
          <w:rFonts w:hint="eastAsia" w:hAnsi="宋体"/>
          <w:b/>
        </w:rPr>
        <w:t xml:space="preserve">+ </w:t>
      </w:r>
      <w:r>
        <w:rPr>
          <w:rFonts w:hint="eastAsia" w:ascii="Times New Roman" w:hAnsi="Times New Roman"/>
          <w:b/>
        </w:rPr>
        <w:t>5</w:t>
      </w:r>
      <w:r>
        <w:rPr>
          <w:rFonts w:hint="eastAsia" w:hAnsi="宋体"/>
          <w:b/>
        </w:rPr>
        <w:t>。</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w:t>
      </w:r>
      <w:r>
        <w:rPr>
          <w:rFonts w:hint="eastAsia" w:ascii="Times New Roman" w:hAnsi="Times New Roman" w:cs="Courier New"/>
          <w:color w:val="auto"/>
          <w:kern w:val="2"/>
          <w:sz w:val="21"/>
          <w:szCs w:val="21"/>
        </w:rPr>
        <w:t>3</w:t>
      </w:r>
      <w:r>
        <w:rPr>
          <w:rFonts w:hint="eastAsia" w:hAnsi="宋体" w:cs="Courier New"/>
          <w:color w:val="auto"/>
          <w:kern w:val="2"/>
          <w:sz w:val="21"/>
          <w:szCs w:val="21"/>
        </w:rPr>
        <w:t>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
      <w:pPr>
        <w:pStyle w:val="29"/>
        <w:pageBreakBefore/>
        <w:spacing w:line="480" w:lineRule="exact"/>
        <w:jc w:val="center"/>
        <w:rPr>
          <w:rFonts w:ascii="仿宋_GB2312" w:hAnsi="宋体" w:eastAsia="仿宋_GB2312"/>
          <w:b/>
          <w:sz w:val="32"/>
          <w:szCs w:val="32"/>
        </w:rPr>
      </w:pPr>
      <w:r>
        <w:rPr>
          <w:rFonts w:hint="eastAsia" w:ascii="仿宋_GB2312" w:hAnsi="宋体" w:eastAsia="仿宋_GB2312"/>
          <w:b/>
          <w:sz w:val="32"/>
          <w:szCs w:val="32"/>
          <w:lang w:eastAsia="zh-CN"/>
        </w:rPr>
        <w:t>评标方法及评分标准（分标</w:t>
      </w:r>
      <w:r>
        <w:rPr>
          <w:rFonts w:hint="eastAsia" w:ascii="仿宋_GB2312" w:hAnsi="宋体" w:eastAsia="仿宋_GB2312"/>
          <w:b/>
          <w:sz w:val="32"/>
          <w:szCs w:val="32"/>
          <w:lang w:val="en-US" w:eastAsia="zh-CN"/>
        </w:rPr>
        <w:t>3</w:t>
      </w:r>
      <w:r>
        <w:rPr>
          <w:rFonts w:hint="eastAsia" w:ascii="仿宋_GB2312" w:hAnsi="宋体" w:eastAsia="仿宋_GB2312"/>
          <w:b/>
          <w:sz w:val="32"/>
          <w:szCs w:val="32"/>
          <w:lang w:eastAsia="zh-CN"/>
        </w:rPr>
        <w:t>）</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
        </w:rPr>
        <w:t>35</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w:t>
      </w:r>
      <w:r>
        <w:rPr>
          <w:rFonts w:hint="eastAsia"/>
          <w:lang w:val="en-US" w:eastAsia="zh"/>
        </w:rPr>
        <w:t>35</w:t>
      </w:r>
      <w:r>
        <w:rPr>
          <w:rFonts w:hint="eastAsia"/>
        </w:rPr>
        <w:t>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lang w:val="en-US" w:eastAsia="zh"/>
        </w:rPr>
        <w:t>35</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
        </w:rPr>
        <w:t>56</w:t>
      </w:r>
      <w:r>
        <w:rPr>
          <w:rFonts w:hint="eastAsia"/>
          <w:b/>
          <w:bCs/>
        </w:rPr>
        <w:t>分</w:t>
      </w:r>
    </w:p>
    <w:p>
      <w:pPr>
        <w:pStyle w:val="111"/>
        <w:adjustRightInd w:val="0"/>
        <w:snapToGrid w:val="0"/>
        <w:spacing w:line="400" w:lineRule="exact"/>
        <w:ind w:firstLine="378" w:firstLineChars="180"/>
        <w:textAlignment w:val="baseline"/>
        <w:rPr>
          <w:rFonts w:hint="eastAsia"/>
        </w:rPr>
      </w:pPr>
      <w:r>
        <w:rPr>
          <w:rFonts w:hint="eastAsia"/>
        </w:rPr>
        <w:t>（1）一般技术参数要求响应得分（满分</w:t>
      </w:r>
      <w:r>
        <w:rPr>
          <w:rFonts w:hint="eastAsia"/>
          <w:lang w:val="en-US" w:eastAsia="zh-CN"/>
        </w:rPr>
        <w:t>21</w:t>
      </w:r>
      <w:r>
        <w:rPr>
          <w:rFonts w:hint="eastAsia"/>
        </w:rPr>
        <w:t>分）</w:t>
      </w:r>
    </w:p>
    <w:p>
      <w:pPr>
        <w:pStyle w:val="111"/>
        <w:adjustRightInd w:val="0"/>
        <w:snapToGrid w:val="0"/>
        <w:spacing w:line="400" w:lineRule="exact"/>
        <w:ind w:firstLine="378" w:firstLineChars="180"/>
        <w:textAlignment w:val="baseline"/>
        <w:rPr>
          <w:rFonts w:hint="eastAsia" w:ascii="宋体" w:hAnsi="宋体" w:eastAsia="宋体"/>
          <w:bCs w:val="0"/>
          <w:color w:val="auto"/>
          <w:szCs w:val="21"/>
        </w:rPr>
      </w:pPr>
      <w:r>
        <w:rPr>
          <w:rFonts w:hint="eastAsia" w:ascii="宋体" w:hAnsi="宋体" w:eastAsia="宋体"/>
          <w:b w:val="0"/>
          <w:color w:val="auto"/>
          <w:szCs w:val="21"/>
        </w:rPr>
        <w:t>一般技术参数要求响应得分</w:t>
      </w:r>
      <w:r>
        <w:rPr>
          <w:rFonts w:hint="eastAsia" w:ascii="宋体" w:hAnsi="宋体" w:eastAsia="宋体"/>
          <w:bCs w:val="0"/>
          <w:color w:val="auto"/>
          <w:szCs w:val="21"/>
        </w:rPr>
        <w:t>（共计</w:t>
      </w:r>
      <w:r>
        <w:rPr>
          <w:rFonts w:hint="eastAsia"/>
          <w:bCs w:val="0"/>
          <w:color w:val="auto"/>
          <w:szCs w:val="21"/>
          <w:lang w:val="en-US" w:eastAsia="zh-CN"/>
        </w:rPr>
        <w:t>285</w:t>
      </w:r>
      <w:r>
        <w:rPr>
          <w:rFonts w:hint="eastAsia" w:ascii="宋体" w:hAnsi="宋体" w:eastAsia="宋体"/>
          <w:bCs w:val="0"/>
          <w:color w:val="auto"/>
          <w:szCs w:val="21"/>
        </w:rPr>
        <w:t>项），“</w:t>
      </w:r>
      <w:r>
        <w:rPr>
          <w:rFonts w:hint="eastAsia" w:ascii="宋体" w:hAnsi="宋体" w:eastAsia="宋体"/>
          <w:bCs w:val="0"/>
          <w:color w:val="auto"/>
          <w:szCs w:val="21"/>
          <w:lang w:eastAsia="zh-CN"/>
        </w:rPr>
        <w:t>医用直线加速器</w:t>
      </w:r>
      <w:r>
        <w:rPr>
          <w:rFonts w:hint="eastAsia" w:ascii="宋体" w:hAnsi="宋体" w:eastAsia="宋体"/>
          <w:bCs w:val="0"/>
          <w:color w:val="auto"/>
          <w:szCs w:val="21"/>
        </w:rPr>
        <w:t xml:space="preserve"> ”“主机基本要求 ”“X射线束特性 ”“治疗模式”“机械运动系统”“电动多叶准直器（MLC）系统 ”“治疗床”“四维影像引导系统或IGRT影像系统”“EPID系统”“硬件要求”“</w:t>
      </w:r>
      <w:r>
        <w:rPr>
          <w:rFonts w:hint="eastAsia" w:ascii="宋体" w:hAnsi="宋体" w:eastAsia="宋体"/>
          <w:bCs w:val="0"/>
          <w:color w:val="auto"/>
          <w:szCs w:val="21"/>
          <w:lang w:val="en-US" w:eastAsia="zh-CN"/>
        </w:rPr>
        <w:t>软件要求</w:t>
      </w:r>
      <w:r>
        <w:rPr>
          <w:rFonts w:hint="eastAsia" w:ascii="宋体" w:hAnsi="宋体" w:eastAsia="宋体"/>
          <w:bCs w:val="0"/>
          <w:color w:val="auto"/>
          <w:szCs w:val="21"/>
        </w:rPr>
        <w:t>”“旋转容积调强功能”“放射治疗计划系统”“放疗专用网络系统”等为技术参数要求的名称描述，不计入一般技术参数要求数量。</w:t>
      </w:r>
    </w:p>
    <w:p>
      <w:pPr>
        <w:pStyle w:val="111"/>
        <w:adjustRightInd w:val="0"/>
        <w:snapToGrid w:val="0"/>
        <w:spacing w:line="400" w:lineRule="exact"/>
        <w:ind w:firstLine="378" w:firstLineChars="180"/>
        <w:rPr>
          <w:color w:val="auto"/>
        </w:rPr>
      </w:pPr>
      <w:r>
        <w:rPr>
          <w:rFonts w:hint="eastAsia" w:ascii="宋体" w:hAnsi="宋体" w:eastAsia="宋体"/>
          <w:bCs w:val="0"/>
          <w:color w:val="auto"/>
          <w:szCs w:val="21"/>
        </w:rPr>
        <w:t>一般技术参数满足</w:t>
      </w:r>
      <w:r>
        <w:rPr>
          <w:rFonts w:hint="eastAsia"/>
          <w:bCs w:val="0"/>
          <w:color w:val="auto"/>
          <w:szCs w:val="21"/>
          <w:lang w:eastAsia="zh-CN"/>
        </w:rPr>
        <w:t>采购需求</w:t>
      </w:r>
      <w:r>
        <w:rPr>
          <w:rFonts w:hint="eastAsia" w:ascii="宋体" w:hAnsi="宋体" w:eastAsia="宋体"/>
          <w:bCs w:val="0"/>
          <w:color w:val="auto"/>
          <w:szCs w:val="21"/>
        </w:rPr>
        <w:t>的，每项</w:t>
      </w:r>
      <w:r>
        <w:rPr>
          <w:rFonts w:hint="eastAsia"/>
          <w:bCs w:val="0"/>
          <w:color w:val="auto"/>
          <w:szCs w:val="21"/>
          <w:lang w:eastAsia="zh-CN"/>
        </w:rPr>
        <w:t>得</w:t>
      </w:r>
      <w:r>
        <w:rPr>
          <w:rFonts w:hint="eastAsia" w:ascii="宋体" w:hAnsi="宋体" w:eastAsia="宋体"/>
          <w:bCs w:val="0"/>
          <w:color w:val="auto"/>
          <w:szCs w:val="21"/>
        </w:rPr>
        <w:t>0.</w:t>
      </w:r>
      <w:r>
        <w:rPr>
          <w:rFonts w:hint="eastAsia"/>
          <w:bCs w:val="0"/>
          <w:color w:val="auto"/>
          <w:szCs w:val="21"/>
          <w:lang w:val="en-US" w:eastAsia="zh-CN"/>
        </w:rPr>
        <w:t>073</w:t>
      </w:r>
      <w:r>
        <w:rPr>
          <w:rFonts w:hint="eastAsia" w:ascii="宋体" w:hAnsi="宋体" w:eastAsia="宋体"/>
          <w:bCs w:val="0"/>
          <w:color w:val="auto"/>
          <w:szCs w:val="21"/>
        </w:rPr>
        <w:t>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w:t>
      </w:r>
      <w:r>
        <w:rPr>
          <w:rFonts w:hint="eastAsia"/>
          <w:lang w:val="en-US" w:eastAsia="zh-CN"/>
        </w:rPr>
        <w:t>24</w:t>
      </w:r>
      <w:r>
        <w:rPr>
          <w:rFonts w:hint="eastAsia"/>
        </w:rPr>
        <w:t>分）</w:t>
      </w:r>
    </w:p>
    <w:p>
      <w:pPr>
        <w:pStyle w:val="111"/>
        <w:adjustRightInd w:val="0"/>
        <w:snapToGrid w:val="0"/>
        <w:spacing w:line="400" w:lineRule="exact"/>
        <w:ind w:firstLine="378" w:firstLineChars="180"/>
      </w:pPr>
      <w:r>
        <w:rPr>
          <w:rFonts w:hint="eastAsia"/>
        </w:rPr>
        <w:t>重要技术参数要求响应得分（共计</w:t>
      </w:r>
      <w:r>
        <w:rPr>
          <w:rFonts w:hint="eastAsia"/>
          <w:lang w:val="en-US" w:eastAsia="zh-CN"/>
        </w:rPr>
        <w:t>12</w:t>
      </w:r>
      <w:r>
        <w:rPr>
          <w:rFonts w:hint="eastAsia"/>
        </w:rPr>
        <w:t>项）；</w:t>
      </w:r>
    </w:p>
    <w:p>
      <w:pPr>
        <w:pStyle w:val="111"/>
        <w:adjustRightInd w:val="0"/>
        <w:snapToGrid w:val="0"/>
        <w:spacing w:line="400" w:lineRule="exact"/>
        <w:ind w:firstLine="378" w:firstLineChars="180"/>
      </w:pPr>
      <w:r>
        <w:rPr>
          <w:rFonts w:hint="eastAsia"/>
        </w:rPr>
        <w:t>重要技术参数满足要求的，每项</w:t>
      </w:r>
      <w:r>
        <w:rPr>
          <w:rFonts w:hint="eastAsia"/>
          <w:lang w:eastAsia="zh-CN"/>
        </w:rPr>
        <w:t>得</w:t>
      </w:r>
      <w:r>
        <w:rPr>
          <w:rFonts w:hint="eastAsia"/>
          <w:lang w:val="en-US" w:eastAsia="zh-CN"/>
        </w:rPr>
        <w:t>2</w:t>
      </w:r>
      <w:r>
        <w:rPr>
          <w:rFonts w:hint="eastAsia"/>
        </w:rPr>
        <w:t>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
        </w:rPr>
        <w:t>3</w:t>
      </w:r>
      <w:r>
        <w:rPr>
          <w:rFonts w:hint="eastAsia"/>
        </w:rPr>
        <w:t>）技术及项目实施方案分（满分4分）</w:t>
      </w:r>
    </w:p>
    <w:p>
      <w:pPr>
        <w:pStyle w:val="111"/>
        <w:snapToGrid w:val="0"/>
        <w:spacing w:line="400" w:lineRule="exact"/>
        <w:ind w:firstLine="378" w:firstLineChars="180"/>
        <w:rPr>
          <w:rFonts w:hint="default" w:ascii="宋体" w:hAnsi="宋体" w:eastAsia="宋体"/>
          <w:bCs w:val="0"/>
          <w:szCs w:val="21"/>
        </w:rPr>
      </w:pPr>
      <w:r>
        <w:rPr>
          <w:rFonts w:hint="default" w:ascii="宋体" w:hAnsi="宋体" w:eastAsia="宋体"/>
          <w:bCs w:val="0"/>
          <w:szCs w:val="21"/>
        </w:rPr>
        <w:t>根据投标文件中投标人技术及项目实施方案内容独立评分。</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一档（</w:t>
      </w:r>
      <w:r>
        <w:rPr>
          <w:rFonts w:hint="default" w:ascii="宋体" w:hAnsi="宋体" w:eastAsia="宋体"/>
          <w:bCs w:val="0"/>
          <w:szCs w:val="21"/>
        </w:rPr>
        <w:t>1</w:t>
      </w:r>
      <w:r>
        <w:rPr>
          <w:rFonts w:hint="eastAsia" w:ascii="宋体" w:hAnsi="宋体" w:eastAsia="宋体"/>
          <w:bCs w:val="0"/>
          <w:szCs w:val="21"/>
        </w:rPr>
        <w:t>分）：管理措施、具体实施流程、进度安排、质量保证措施等方案</w:t>
      </w:r>
      <w:r>
        <w:rPr>
          <w:rFonts w:hint="default" w:ascii="宋体" w:hAnsi="宋体" w:eastAsia="宋体"/>
          <w:bCs w:val="0"/>
          <w:szCs w:val="21"/>
        </w:rPr>
        <w:t>内容齐全，符合基础条件</w:t>
      </w:r>
      <w:r>
        <w:rPr>
          <w:rFonts w:hint="eastAsia" w:ascii="宋体" w:hAnsi="宋体" w:eastAsia="宋体"/>
          <w:bCs w:val="0"/>
          <w:szCs w:val="21"/>
        </w:rPr>
        <w:t>的。</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二档（</w:t>
      </w:r>
      <w:r>
        <w:rPr>
          <w:rFonts w:hint="default" w:ascii="宋体" w:hAnsi="宋体" w:eastAsia="宋体"/>
          <w:bCs w:val="0"/>
          <w:szCs w:val="21"/>
        </w:rPr>
        <w:t>2</w:t>
      </w:r>
      <w:r>
        <w:rPr>
          <w:rFonts w:hint="eastAsia" w:ascii="宋体" w:hAnsi="宋体" w:eastAsia="宋体"/>
          <w:bCs w:val="0"/>
          <w:szCs w:val="21"/>
        </w:rPr>
        <w:t>分）：管理措施、具体实施流程、进度安排、质量保证措施等方案内容齐全，</w:t>
      </w:r>
      <w:r>
        <w:rPr>
          <w:rFonts w:hint="default" w:ascii="宋体" w:hAnsi="宋体" w:eastAsia="宋体"/>
          <w:bCs w:val="0"/>
          <w:szCs w:val="21"/>
        </w:rPr>
        <w:t>方案有可行性，</w:t>
      </w:r>
      <w:r>
        <w:rPr>
          <w:rFonts w:hint="eastAsia" w:ascii="宋体" w:hAnsi="宋体" w:eastAsia="宋体"/>
          <w:bCs w:val="0"/>
          <w:szCs w:val="21"/>
        </w:rPr>
        <w:t>无明显错误。</w:t>
      </w:r>
    </w:p>
    <w:p>
      <w:pPr>
        <w:pStyle w:val="111"/>
        <w:adjustRightInd w:val="0"/>
        <w:snapToGrid w:val="0"/>
        <w:spacing w:line="400" w:lineRule="exact"/>
        <w:ind w:firstLine="378" w:firstLineChars="180"/>
        <w:textAlignment w:val="baseline"/>
        <w:rPr>
          <w:rFonts w:hint="eastAsia" w:ascii="宋体" w:hAnsi="宋体" w:eastAsia="宋体"/>
          <w:bCs w:val="0"/>
          <w:szCs w:val="21"/>
        </w:rPr>
      </w:pPr>
      <w:r>
        <w:rPr>
          <w:rFonts w:hint="eastAsia" w:ascii="宋体" w:hAnsi="宋体" w:eastAsia="宋体"/>
          <w:bCs w:val="0"/>
          <w:szCs w:val="21"/>
        </w:rPr>
        <w:t>三档（</w:t>
      </w:r>
      <w:r>
        <w:rPr>
          <w:rFonts w:hint="default" w:ascii="宋体" w:hAnsi="宋体" w:eastAsia="宋体"/>
          <w:bCs w:val="0"/>
          <w:szCs w:val="21"/>
        </w:rPr>
        <w:t>4</w:t>
      </w:r>
      <w:r>
        <w:rPr>
          <w:rFonts w:hint="eastAsia" w:ascii="宋体" w:hAnsi="宋体" w:eastAsia="宋体"/>
          <w:bCs w:val="0"/>
          <w:szCs w:val="21"/>
        </w:rPr>
        <w:t>分）：管理措施、具体实施流程、进度安排、质量保证措施等方案内容齐全，方案有可行性</w:t>
      </w:r>
      <w:r>
        <w:rPr>
          <w:rFonts w:hint="default" w:ascii="宋体" w:hAnsi="宋体" w:eastAsia="宋体"/>
          <w:bCs w:val="0"/>
          <w:szCs w:val="21"/>
        </w:rPr>
        <w:t>，</w:t>
      </w:r>
      <w:r>
        <w:rPr>
          <w:rFonts w:hint="eastAsia" w:ascii="宋体" w:hAnsi="宋体" w:eastAsia="宋体"/>
          <w:bCs w:val="0"/>
          <w:szCs w:val="21"/>
        </w:rPr>
        <w:t>无明显错误，有利于采购项目实施的内容或合理性建议的。</w:t>
      </w:r>
    </w:p>
    <w:p>
      <w:pPr>
        <w:pStyle w:val="111"/>
        <w:adjustRightInd w:val="0"/>
        <w:snapToGrid w:val="0"/>
        <w:spacing w:line="400" w:lineRule="exact"/>
        <w:ind w:firstLine="378" w:firstLineChars="180"/>
        <w:rPr>
          <w:rFonts w:hint="default"/>
          <w:b/>
          <w:bCs/>
        </w:rPr>
      </w:pPr>
      <w:r>
        <w:rPr>
          <w:rFonts w:ascii="宋体" w:hAnsi="宋体" w:eastAsia="宋体" w:cs="Times New Roman"/>
          <w:b/>
          <w:bCs/>
        </w:rPr>
        <w:t>无技术及项目实施方案内容</w:t>
      </w:r>
      <w:r>
        <w:rPr>
          <w:rFonts w:hint="default" w:ascii="宋体" w:hAnsi="宋体" w:eastAsia="宋体" w:cs="Times New Roman"/>
          <w:b/>
          <w:bCs/>
        </w:rPr>
        <w:t>或不齐全</w:t>
      </w:r>
      <w:r>
        <w:rPr>
          <w:rFonts w:ascii="宋体" w:hAnsi="宋体" w:eastAsia="宋体" w:cs="Times New Roman"/>
          <w:b/>
          <w:bCs/>
        </w:rPr>
        <w:t>的不得分。</w:t>
      </w:r>
    </w:p>
    <w:p>
      <w:pPr>
        <w:pStyle w:val="111"/>
        <w:snapToGrid w:val="0"/>
        <w:spacing w:line="400" w:lineRule="exact"/>
        <w:ind w:firstLine="378" w:firstLineChars="180"/>
        <w:rPr>
          <w:rFonts w:hint="eastAsia"/>
        </w:rPr>
      </w:pPr>
      <w:r>
        <w:rPr>
          <w:rFonts w:hint="eastAsia"/>
        </w:rPr>
        <w:t>（</w:t>
      </w:r>
      <w:r>
        <w:rPr>
          <w:rFonts w:hint="eastAsia"/>
          <w:lang w:val="en-US" w:eastAsia="zh"/>
        </w:rPr>
        <w:t>4</w:t>
      </w:r>
      <w:r>
        <w:rPr>
          <w:rFonts w:hint="eastAsia"/>
        </w:rPr>
        <w:t>）技术人员分（满分4分）</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snapToGrid w:val="0"/>
        <w:spacing w:line="240" w:lineRule="auto"/>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无技术人员方案或不齐全的不得分。</w:t>
      </w:r>
    </w:p>
    <w:p>
      <w:pPr>
        <w:pStyle w:val="111"/>
        <w:adjustRightInd w:val="0"/>
        <w:snapToGrid w:val="0"/>
        <w:ind w:firstLine="378" w:firstLineChars="180"/>
      </w:pPr>
      <w:r>
        <w:rPr>
          <w:rFonts w:hint="eastAsia"/>
        </w:rPr>
        <w:t>（</w:t>
      </w:r>
      <w:r>
        <w:rPr>
          <w:rFonts w:hint="eastAsia"/>
          <w:lang w:val="en-US" w:eastAsia="zh"/>
        </w:rPr>
        <w:t>5</w:t>
      </w:r>
      <w:r>
        <w:rPr>
          <w:rFonts w:hint="eastAsia"/>
        </w:rPr>
        <w:t>）培训计划分（满分3分）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default" w:ascii="宋体" w:hAnsi="宋体" w:eastAsia="宋体" w:cs="Times New Roman"/>
          <w:b/>
          <w:bCs/>
        </w:rPr>
        <w:t>未提供或有明显错误的不得分。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在满足基本质保期（保修期）（3年）的基础上，免费保修期每延长6个月得0.5分（以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（2）投标人202</w:t>
      </w:r>
      <w:r>
        <w:rPr>
          <w:rFonts w:hint="eastAsia" w:ascii="宋体" w:hAnsi="宋体" w:cs="宋体"/>
          <w:szCs w:val="21"/>
          <w:lang w:val="en-US" w:eastAsia="zh"/>
        </w:rPr>
        <w:t>2</w:t>
      </w:r>
      <w:r>
        <w:rPr>
          <w:rFonts w:hint="eastAsia" w:ascii="宋体" w:hAnsi="宋体" w:eastAsia="宋体" w:cs="宋体"/>
          <w:szCs w:val="21"/>
        </w:rPr>
        <w:t>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医用直线加速器</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Style w:val="191"/>
          <w:rFonts w:ascii="宋体"/>
          <w:b/>
          <w:color w:val="auto"/>
          <w:u w:val="none"/>
        </w:rPr>
      </w:pPr>
      <w:r>
        <w:rPr>
          <w:rStyle w:val="191"/>
          <w:rFonts w:hint="eastAsia" w:ascii="宋体" w:hAnsi="宋体"/>
          <w:b/>
          <w:color w:val="auto"/>
          <w:u w:val="none"/>
        </w:rPr>
        <w:t>第一条 合同标的</w:t>
      </w:r>
    </w:p>
    <w:p>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keepNext w:val="0"/>
        <w:keepLines w:val="0"/>
        <w:pageBreakBefore w:val="0"/>
        <w:widowControl w:val="0"/>
        <w:kinsoku/>
        <w:wordWrap/>
        <w:overflowPunct/>
        <w:topLinePunct w:val="0"/>
        <w:autoSpaceDE/>
        <w:autoSpaceDN/>
        <w:bidi w:val="0"/>
        <w:adjustRightInd/>
        <w:snapToGrid w:val="0"/>
        <w:spacing w:line="430" w:lineRule="exact"/>
        <w:ind w:right="56" w:firstLine="420" w:firstLineChars="200"/>
        <w:textAlignment w:val="auto"/>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b/>
          <w:szCs w:val="21"/>
        </w:rPr>
        <w:t>第二条　质量保证</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b/>
          <w:szCs w:val="21"/>
        </w:rPr>
        <w:t>第三条　权利保证</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乙方应保证所提供货物在使用时不会侵犯任何第三方的专利权、商标权、工业设计权或其他权利。</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乙方应按招标文件规定的时间向甲方提供使用货物的有关技术资料。</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乙方保证所交付的货物的所有权完全属于乙方且无任何抵押、质押、查封等产权瑕疵。</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b/>
          <w:szCs w:val="21"/>
        </w:rPr>
      </w:pPr>
      <w:r>
        <w:rPr>
          <w:rFonts w:hint="eastAsia" w:ascii="宋体"/>
          <w:b/>
          <w:szCs w:val="21"/>
        </w:rPr>
        <w:t>第四条　包装和运输</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2.货物的运输方式：</w:t>
      </w:r>
      <w:r>
        <w:rPr>
          <w:rFonts w:hint="eastAsia" w:ascii="宋体"/>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b/>
          <w:szCs w:val="21"/>
        </w:rPr>
        <w:t>第五条　交付和验收</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1.交付使用时间、地点。</w:t>
      </w:r>
    </w:p>
    <w:p>
      <w:pPr>
        <w:keepNext w:val="0"/>
        <w:keepLines w:val="0"/>
        <w:pageBreakBefore w:val="0"/>
        <w:widowControl w:val="0"/>
        <w:kinsoku/>
        <w:wordWrap/>
        <w:overflowPunct/>
        <w:topLinePunct w:val="0"/>
        <w:autoSpaceDE/>
        <w:autoSpaceDN/>
        <w:bidi w:val="0"/>
        <w:adjustRightInd/>
        <w:spacing w:line="430" w:lineRule="exact"/>
        <w:ind w:firstLine="522" w:firstLineChars="249"/>
        <w:textAlignment w:val="auto"/>
        <w:rPr>
          <w:rFonts w:ascii="宋体"/>
          <w:b/>
          <w:szCs w:val="21"/>
        </w:rPr>
      </w:pPr>
      <w:r>
        <w:rPr>
          <w:rFonts w:hint="eastAsia" w:ascii="宋体"/>
          <w:b/>
          <w:szCs w:val="21"/>
        </w:rPr>
        <w:t>交付使用时间：按乙方投标文件中所承诺的时间；交付使用地点：采购人指定地点。</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2.乙方提供不符合招投标文件和本合同规定的货物，甲方有权拒绝接受。</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b/>
          <w:szCs w:val="21"/>
        </w:rPr>
      </w:pPr>
      <w:r>
        <w:rPr>
          <w:rFonts w:hint="eastAsia" w:ascii="宋体"/>
          <w:b/>
          <w:szCs w:val="21"/>
        </w:rPr>
        <w:t>第六条　安装和培训</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1.甲方应提供必要安装条件（如场地、电源、水源等）。</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b/>
          <w:szCs w:val="21"/>
        </w:rPr>
      </w:pPr>
      <w:r>
        <w:rPr>
          <w:rFonts w:hint="eastAsia" w:ascii="宋体"/>
          <w:b/>
          <w:szCs w:val="21"/>
        </w:rPr>
        <w:t>第七条  售后服务、保修期</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1.乙方应按照国家有关法律法规和“三包”规定以及招投标文件和本合同所附的《服务承诺》，为甲方提供售后服务。</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u w:val="single"/>
        </w:rPr>
      </w:pPr>
      <w:r>
        <w:rPr>
          <w:rFonts w:hint="eastAsia" w:ascii="宋体"/>
          <w:szCs w:val="21"/>
        </w:rPr>
        <w:t>3.乙方提供的服务承诺和售后服务及保修期责任等其他具体约定事项。（见合同附件）</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b/>
          <w:szCs w:val="21"/>
        </w:rPr>
        <w:t>第八条　付款方式和保证金</w:t>
      </w:r>
    </w:p>
    <w:p>
      <w:pPr>
        <w:pStyle w:val="29"/>
        <w:keepNext w:val="0"/>
        <w:keepLines w:val="0"/>
        <w:pageBreakBefore w:val="0"/>
        <w:widowControl w:val="0"/>
        <w:kinsoku/>
        <w:wordWrap/>
        <w:overflowPunct/>
        <w:topLinePunct w:val="0"/>
        <w:autoSpaceDE/>
        <w:autoSpaceDN/>
        <w:bidi w:val="0"/>
        <w:adjustRightInd/>
        <w:snapToGrid w:val="0"/>
        <w:spacing w:line="430" w:lineRule="exact"/>
        <w:ind w:left="420" w:leftChars="200"/>
        <w:textAlignment w:val="auto"/>
      </w:pPr>
      <w:r>
        <w:rPr>
          <w:rFonts w:hint="eastAsia"/>
          <w:bCs/>
        </w:rPr>
        <w:t>1.</w:t>
      </w:r>
      <w:r>
        <w:rPr>
          <w:rFonts w:hint="eastAsia"/>
        </w:rPr>
        <w:t>当采购数量与实际使用数量不一致时，乙方应根据实际使用量供货，合同的最终结算金额按实际使用量乘以成交单价进行计算。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Courier New" w:cs="Courier New"/>
          <w:b/>
          <w:szCs w:val="21"/>
        </w:rPr>
      </w:pPr>
      <w:r>
        <w:rPr>
          <w:rFonts w:hint="eastAsia" w:ascii="宋体" w:hAnsi="Courier New" w:cs="Courier New"/>
          <w:b/>
          <w:szCs w:val="21"/>
        </w:rPr>
        <w:t>3.付款方式：</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default" w:ascii="宋体" w:hAnsi="Courier New" w:cs="Courier New"/>
          <w:b/>
          <w:szCs w:val="21"/>
          <w:lang w:val="en-US" w:eastAsia="zh-CN"/>
        </w:rPr>
      </w:pPr>
      <w:r>
        <w:rPr>
          <w:rFonts w:hint="eastAsia" w:ascii="宋体" w:hAnsi="Courier New" w:cs="Courier New"/>
          <w:b/>
          <w:szCs w:val="21"/>
          <w:lang w:eastAsia="zh-CN"/>
        </w:rPr>
        <w:t>分标</w:t>
      </w:r>
      <w:r>
        <w:rPr>
          <w:rFonts w:hint="eastAsia" w:ascii="宋体" w:hAnsi="Courier New" w:cs="Courier New"/>
          <w:b/>
          <w:szCs w:val="21"/>
          <w:lang w:val="en-US" w:eastAsia="zh-CN"/>
        </w:rPr>
        <w:t>1：</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分期付款，分</w:t>
      </w:r>
      <w:r>
        <w:rPr>
          <w:rFonts w:hint="eastAsia" w:ascii="宋体" w:hAnsi="宋体" w:cs="宋体"/>
          <w:color w:val="auto"/>
          <w:sz w:val="21"/>
          <w:szCs w:val="21"/>
          <w:lang w:val="en-US" w:eastAsia="zh-CN"/>
        </w:rPr>
        <w:t>两</w:t>
      </w:r>
      <w:r>
        <w:rPr>
          <w:rFonts w:hint="eastAsia" w:ascii="宋体" w:hAnsi="宋体" w:cs="宋体"/>
          <w:color w:val="auto"/>
          <w:sz w:val="21"/>
          <w:szCs w:val="21"/>
        </w:rPr>
        <w:t>期支付。</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1.第一期：预付款为合同金额的</w:t>
      </w:r>
      <w:r>
        <w:rPr>
          <w:rFonts w:hint="eastAsia" w:ascii="宋体" w:hAnsi="宋体" w:cs="宋体"/>
          <w:color w:val="auto"/>
          <w:sz w:val="21"/>
          <w:szCs w:val="21"/>
          <w:lang w:val="en-US" w:eastAsia="zh-CN"/>
        </w:rPr>
        <w:t>5</w:t>
      </w:r>
      <w:r>
        <w:rPr>
          <w:rFonts w:hint="eastAsia" w:ascii="宋体" w:hAnsi="宋体" w:cs="宋体"/>
          <w:color w:val="auto"/>
          <w:sz w:val="21"/>
          <w:szCs w:val="21"/>
        </w:rPr>
        <w:t>0%；签订合同后，采购人收到中标供应商开具合法有效的合同款</w:t>
      </w:r>
      <w:r>
        <w:rPr>
          <w:rFonts w:hint="eastAsia" w:ascii="宋体" w:hAnsi="宋体" w:cs="宋体"/>
          <w:color w:val="auto"/>
          <w:sz w:val="21"/>
          <w:szCs w:val="21"/>
          <w:lang w:val="en-US" w:eastAsia="zh-CN"/>
        </w:rPr>
        <w:t>5</w:t>
      </w:r>
      <w:r>
        <w:rPr>
          <w:rFonts w:hint="eastAsia" w:ascii="宋体" w:hAnsi="宋体" w:cs="宋体"/>
          <w:color w:val="auto"/>
          <w:sz w:val="21"/>
          <w:szCs w:val="21"/>
        </w:rPr>
        <w:t>0%等额发票后，10个工作日内，向中标供应商支付预付款；</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CN"/>
        </w:rPr>
        <w:t>50</w:t>
      </w:r>
      <w:r>
        <w:rPr>
          <w:rFonts w:hint="eastAsia" w:ascii="宋体" w:hAnsi="宋体" w:cs="宋体"/>
          <w:color w:val="auto"/>
          <w:sz w:val="21"/>
          <w:szCs w:val="21"/>
        </w:rPr>
        <w:t>%等额发票后，10个工作日内，支付至合同款的</w:t>
      </w:r>
      <w:r>
        <w:rPr>
          <w:rFonts w:hint="eastAsia" w:ascii="宋体" w:hAnsi="宋体" w:cs="宋体"/>
          <w:color w:val="auto"/>
          <w:sz w:val="21"/>
          <w:szCs w:val="21"/>
          <w:lang w:val="en-US" w:eastAsia="zh-CN"/>
        </w:rPr>
        <w:t>100</w:t>
      </w:r>
      <w:r>
        <w:rPr>
          <w:rFonts w:hint="eastAsia" w:ascii="宋体" w:hAnsi="宋体" w:cs="宋体"/>
          <w:color w:val="auto"/>
          <w:sz w:val="21"/>
          <w:szCs w:val="21"/>
        </w:rPr>
        <w:t>%。</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宋体" w:cs="宋体"/>
          <w:color w:val="auto"/>
          <w:sz w:val="21"/>
          <w:szCs w:val="21"/>
          <w:highlight w:val="yellow"/>
        </w:rPr>
      </w:pPr>
      <w:r>
        <w:rPr>
          <w:rFonts w:hint="eastAsia" w:ascii="宋体" w:hAnsi="宋体" w:cs="宋体"/>
          <w:color w:val="auto"/>
          <w:sz w:val="21"/>
          <w:szCs w:val="21"/>
          <w:lang w:val="en-US" w:eastAsia="zh-CN"/>
        </w:rPr>
        <w:t>3</w:t>
      </w:r>
      <w:r>
        <w:rPr>
          <w:rFonts w:hint="eastAsia" w:ascii="宋体" w:hAnsi="宋体" w:cs="宋体"/>
          <w:color w:val="auto"/>
          <w:sz w:val="21"/>
          <w:szCs w:val="21"/>
        </w:rPr>
        <w:t>.中标供应商未开具合法有效的等额发票的，采购人有权不支付合同款。</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default" w:ascii="宋体" w:hAnsi="Courier New" w:eastAsia="宋体" w:cs="Courier New"/>
          <w:b/>
          <w:szCs w:val="21"/>
          <w:lang w:val="en-US" w:eastAsia="zh-CN"/>
        </w:rPr>
      </w:pPr>
      <w:r>
        <w:rPr>
          <w:rFonts w:hint="eastAsia" w:ascii="宋体" w:hAnsi="Courier New" w:cs="Courier New"/>
          <w:b/>
          <w:szCs w:val="21"/>
          <w:lang w:eastAsia="zh-CN"/>
        </w:rPr>
        <w:t>分标</w:t>
      </w:r>
      <w:r>
        <w:rPr>
          <w:rFonts w:hint="eastAsia" w:ascii="宋体" w:hAnsi="Courier New" w:cs="Courier New"/>
          <w:b/>
          <w:szCs w:val="21"/>
          <w:lang w:val="en-US" w:eastAsia="zh-CN"/>
        </w:rPr>
        <w:t>2：</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keepNext w:val="0"/>
        <w:keepLines w:val="0"/>
        <w:pageBreakBefore w:val="0"/>
        <w:widowControl w:val="0"/>
        <w:kinsoku/>
        <w:wordWrap/>
        <w:overflowPunct/>
        <w:topLinePunct w:val="0"/>
        <w:autoSpaceDE/>
        <w:autoSpaceDN/>
        <w:bidi w:val="0"/>
        <w:adjustRightInd/>
        <w:snapToGrid w:val="0"/>
        <w:spacing w:line="430" w:lineRule="exact"/>
        <w:ind w:left="0" w:leftChars="0" w:firstLine="420" w:firstLineChars="200"/>
        <w:jc w:val="left"/>
        <w:textAlignment w:val="auto"/>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default" w:ascii="宋体" w:hAnsi="Courier New" w:eastAsia="宋体" w:cs="Courier New"/>
          <w:b/>
          <w:szCs w:val="21"/>
          <w:lang w:val="en-US" w:eastAsia="zh-CN"/>
        </w:rPr>
      </w:pPr>
      <w:r>
        <w:rPr>
          <w:rFonts w:hint="eastAsia" w:ascii="宋体" w:hAnsi="Courier New" w:cs="Courier New"/>
          <w:b/>
          <w:szCs w:val="21"/>
          <w:lang w:eastAsia="zh-CN"/>
        </w:rPr>
        <w:t>分标</w:t>
      </w:r>
      <w:r>
        <w:rPr>
          <w:rFonts w:hint="eastAsia" w:ascii="宋体" w:hAnsi="Courier New" w:cs="Courier New"/>
          <w:b/>
          <w:szCs w:val="21"/>
          <w:lang w:val="en-US" w:eastAsia="zh-CN"/>
        </w:rPr>
        <w:t>3：</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分期付款，分</w:t>
      </w:r>
      <w:r>
        <w:rPr>
          <w:rFonts w:hint="eastAsia" w:ascii="宋体" w:hAnsi="Courier New" w:cs="Courier New"/>
          <w:sz w:val="21"/>
          <w:szCs w:val="21"/>
          <w:lang w:val="en-US" w:eastAsia="zh-CN"/>
        </w:rPr>
        <w:t>两</w:t>
      </w:r>
      <w:r>
        <w:rPr>
          <w:rFonts w:hint="eastAsia" w:ascii="宋体" w:hAnsi="Courier New" w:cs="Courier New"/>
          <w:sz w:val="21"/>
          <w:szCs w:val="21"/>
        </w:rPr>
        <w:t>期支付。</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1.第一期：预付款为合同金额的30%；签订合同后，采购人收到中标供应商开具合法有效的合同款30%等额发票后，10个工作日内，向中标供应商支付预付款；</w:t>
      </w:r>
    </w:p>
    <w:p>
      <w:pPr>
        <w:keepNext w:val="0"/>
        <w:keepLines w:val="0"/>
        <w:pageBreakBefore w:val="0"/>
        <w:widowControl w:val="0"/>
        <w:kinsoku/>
        <w:wordWrap/>
        <w:overflowPunct/>
        <w:topLinePunct w:val="0"/>
        <w:autoSpaceDE/>
        <w:autoSpaceDN/>
        <w:bidi w:val="0"/>
        <w:adjustRightInd/>
        <w:spacing w:line="430" w:lineRule="exact"/>
        <w:ind w:firstLine="420" w:firstLineChars="200"/>
        <w:textAlignment w:val="auto"/>
        <w:rPr>
          <w:rFonts w:hint="eastAsia" w:ascii="宋体" w:hAnsi="Courier New" w:cs="Courier New"/>
          <w:sz w:val="21"/>
          <w:szCs w:val="21"/>
        </w:rPr>
      </w:pPr>
      <w:r>
        <w:rPr>
          <w:rFonts w:hint="eastAsia" w:ascii="宋体" w:hAnsi="Courier New" w:cs="Courier New"/>
          <w:sz w:val="21"/>
          <w:szCs w:val="21"/>
        </w:rPr>
        <w:t>2.第二期：所有货物交货安装调试完毕并验收合格，双方签署验收报告后，采购人收到中标供应商开具合法有效的合同款</w:t>
      </w:r>
      <w:r>
        <w:rPr>
          <w:rFonts w:hint="eastAsia" w:ascii="宋体" w:hAnsi="Courier New" w:cs="Courier New"/>
          <w:sz w:val="21"/>
          <w:szCs w:val="21"/>
          <w:lang w:val="en-US" w:eastAsia="zh-CN"/>
        </w:rPr>
        <w:t>70</w:t>
      </w:r>
      <w:r>
        <w:rPr>
          <w:rFonts w:hint="eastAsia" w:ascii="宋体" w:hAnsi="Courier New" w:cs="Courier New"/>
          <w:sz w:val="21"/>
          <w:szCs w:val="21"/>
        </w:rPr>
        <w:t>%等额发票后，10个工作日内，支付至合同款的</w:t>
      </w:r>
      <w:r>
        <w:rPr>
          <w:rFonts w:hint="eastAsia" w:ascii="宋体" w:hAnsi="Courier New" w:cs="Courier New"/>
          <w:sz w:val="21"/>
          <w:szCs w:val="21"/>
          <w:lang w:val="en-US" w:eastAsia="zh-CN"/>
        </w:rPr>
        <w:t>100</w:t>
      </w:r>
      <w:r>
        <w:rPr>
          <w:rFonts w:hint="eastAsia" w:ascii="宋体" w:hAnsi="Courier New" w:cs="Courier New"/>
          <w:sz w:val="21"/>
          <w:szCs w:val="21"/>
        </w:rPr>
        <w:t>%。</w:t>
      </w:r>
    </w:p>
    <w:p>
      <w:pPr>
        <w:keepNext w:val="0"/>
        <w:keepLines w:val="0"/>
        <w:pageBreakBefore w:val="0"/>
        <w:widowControl w:val="0"/>
        <w:kinsoku/>
        <w:wordWrap/>
        <w:overflowPunct/>
        <w:topLinePunct w:val="0"/>
        <w:autoSpaceDE/>
        <w:autoSpaceDN/>
        <w:bidi w:val="0"/>
        <w:adjustRightInd/>
        <w:snapToGrid w:val="0"/>
        <w:spacing w:line="430" w:lineRule="exact"/>
        <w:ind w:left="0" w:leftChars="0" w:firstLine="420" w:firstLineChars="200"/>
        <w:jc w:val="left"/>
        <w:textAlignment w:val="auto"/>
        <w:rPr>
          <w:rFonts w:hint="eastAsia" w:ascii="宋体" w:hAnsi="Times New Roman"/>
          <w:sz w:val="21"/>
          <w:szCs w:val="21"/>
        </w:rPr>
      </w:pPr>
      <w:r>
        <w:rPr>
          <w:rFonts w:hint="eastAsia" w:ascii="宋体" w:hAnsi="Courier New" w:cs="Courier New"/>
          <w:sz w:val="21"/>
          <w:szCs w:val="21"/>
          <w:lang w:val="en-US" w:eastAsia="zh-CN"/>
        </w:rPr>
        <w:t>3</w:t>
      </w:r>
      <w:r>
        <w:rPr>
          <w:rFonts w:hint="eastAsia" w:ascii="宋体" w:hAnsi="Courier New" w:cs="Courier New"/>
          <w:sz w:val="21"/>
          <w:szCs w:val="21"/>
        </w:rPr>
        <w:t>.中标供应商未开具合法有效的等额发票的，采购人有权不支付合同款。</w:t>
      </w:r>
    </w:p>
    <w:p>
      <w:pPr>
        <w:keepNext w:val="0"/>
        <w:keepLines w:val="0"/>
        <w:pageBreakBefore w:val="0"/>
        <w:widowControl w:val="0"/>
        <w:kinsoku/>
        <w:wordWrap/>
        <w:overflowPunct/>
        <w:topLinePunct w:val="0"/>
        <w:autoSpaceDE/>
        <w:autoSpaceDN/>
        <w:bidi w:val="0"/>
        <w:adjustRightInd/>
        <w:snapToGrid w:val="0"/>
        <w:spacing w:line="430" w:lineRule="exact"/>
        <w:ind w:left="-60" w:leftChars="-29" w:firstLine="514" w:firstLineChars="245"/>
        <w:jc w:val="left"/>
        <w:textAlignment w:val="auto"/>
        <w:rPr>
          <w:rFonts w:ascii="宋体"/>
          <w:b/>
          <w:szCs w:val="21"/>
        </w:rPr>
      </w:pPr>
      <w:r>
        <w:rPr>
          <w:rFonts w:hint="eastAsia" w:ascii="宋体"/>
          <w:b/>
          <w:szCs w:val="21"/>
        </w:rPr>
        <w:t>第九条　履约保证金：履约保证金金额：按中标金额的5%（如中标供应商为中小微企业，按中标金额的2%）</w:t>
      </w:r>
      <w:r>
        <w:rPr>
          <w:rFonts w:hint="eastAsia" w:ascii="宋体"/>
          <w:b/>
          <w:szCs w:val="21"/>
          <w:lang w:eastAsia="zh-CN"/>
        </w:rPr>
        <w:t>，</w:t>
      </w:r>
      <w:r>
        <w:rPr>
          <w:rFonts w:hint="eastAsia" w:ascii="宋体"/>
          <w:b/>
          <w:szCs w:val="21"/>
          <w:lang w:val="en-US" w:eastAsia="zh-CN"/>
        </w:rPr>
        <w:t>如中标</w:t>
      </w:r>
      <w:r>
        <w:rPr>
          <w:rFonts w:hint="eastAsia" w:ascii="宋体"/>
          <w:b/>
          <w:szCs w:val="21"/>
        </w:rPr>
        <w:t>供应商以保函形式提交的履约保证金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keepNext w:val="0"/>
        <w:keepLines w:val="0"/>
        <w:pageBreakBefore w:val="0"/>
        <w:widowControl w:val="0"/>
        <w:kinsoku/>
        <w:wordWrap/>
        <w:overflowPunct/>
        <w:topLinePunct w:val="0"/>
        <w:autoSpaceDE/>
        <w:autoSpaceDN/>
        <w:bidi w:val="0"/>
        <w:adjustRightInd/>
        <w:snapToGrid w:val="0"/>
        <w:spacing w:line="430" w:lineRule="exact"/>
        <w:ind w:left="-60" w:leftChars="-29" w:firstLine="514" w:firstLineChars="245"/>
        <w:jc w:val="left"/>
        <w:textAlignment w:val="auto"/>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hAnsi="Courier New" w:cs="Courier New"/>
          <w:szCs w:val="21"/>
        </w:rPr>
      </w:pPr>
      <w:r>
        <w:rPr>
          <w:rFonts w:hint="eastAsia" w:ascii="宋体" w:hAnsi="Courier New" w:cs="Courier New"/>
          <w:b/>
          <w:szCs w:val="21"/>
        </w:rPr>
        <w:t>第十条 税费</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hAnsi="Courier New" w:cs="Courier New"/>
          <w:szCs w:val="21"/>
        </w:rPr>
      </w:pPr>
      <w:r>
        <w:rPr>
          <w:rFonts w:hint="eastAsia" w:ascii="宋体" w:hAnsi="Courier New" w:cs="Courier New"/>
          <w:szCs w:val="21"/>
        </w:rPr>
        <w:t>本合同执行中相关的一切税费均由乙方负担。</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b/>
          <w:szCs w:val="21"/>
        </w:rPr>
      </w:pPr>
      <w:r>
        <w:rPr>
          <w:rFonts w:hint="eastAsia" w:ascii="宋体"/>
          <w:b/>
          <w:szCs w:val="21"/>
        </w:rPr>
        <w:t>第十一条  质量保证及售后服务</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315" w:firstLineChars="150"/>
        <w:textAlignment w:val="auto"/>
      </w:pPr>
      <w:r>
        <w:rPr>
          <w:rFonts w:hint="eastAsia"/>
        </w:rPr>
        <w:t xml:space="preserve"> ⑴更换：由乙方承担所发生的全部费用。</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textAlignment w:val="auto"/>
      </w:pPr>
      <w:r>
        <w:rPr>
          <w:rFonts w:hint="eastAsia"/>
        </w:rPr>
        <w:t>⑵贬值处理：由甲乙双方合议定价。</w:t>
      </w:r>
    </w:p>
    <w:p>
      <w:pPr>
        <w:pStyle w:val="29"/>
        <w:keepNext w:val="0"/>
        <w:keepLines w:val="0"/>
        <w:pageBreakBefore w:val="0"/>
        <w:widowControl w:val="0"/>
        <w:kinsoku/>
        <w:wordWrap/>
        <w:overflowPunct/>
        <w:topLinePunct w:val="0"/>
        <w:autoSpaceDE/>
        <w:autoSpaceDN/>
        <w:bidi w:val="0"/>
        <w:adjustRightInd/>
        <w:snapToGrid w:val="0"/>
        <w:spacing w:line="430" w:lineRule="exact"/>
        <w:ind w:left="420" w:leftChars="200"/>
        <w:textAlignment w:val="auto"/>
      </w:pPr>
      <w:r>
        <w:rPr>
          <w:rFonts w:hint="eastAsia"/>
        </w:rPr>
        <w:t>⑶退货处理：乙方应退还甲方支付的合同款，同时应承担该货物的直接费用（运输、保险、检验、货款利息及银行手续费等）。</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rPr>
        <w:t>3. 在质保期内，乙方应对货物出现的质量及安全问题负责处理解决并承担一切费用。</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11" w:firstLineChars="196"/>
        <w:textAlignment w:val="auto"/>
        <w:rPr>
          <w:b/>
        </w:rPr>
      </w:pPr>
      <w:r>
        <w:rPr>
          <w:rFonts w:hint="eastAsia"/>
          <w:b/>
        </w:rPr>
        <w:t>第十二条  调试和验收</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rPr>
        <w:t>2. 乙方交货前应对产品作出全面检查和对验收文件进行整理，并列出清单，作为甲方收货验收和使用的技术条件依据，检验的结果应随货物交甲方。</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rPr>
        <w:t>3. 甲方对乙方提供的货物在使用前进行调试时，乙方需负责安装并培训甲方的使用操作人员，并协助甲方一起调试，直到符合技术要求，甲方才做最终验收。</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lang w:val="en-US" w:eastAsia="zh"/>
        </w:rPr>
        <w:t>5</w:t>
      </w:r>
      <w:r>
        <w:rPr>
          <w:rFonts w:hint="eastAsia"/>
        </w:rPr>
        <w:t>. 验收时乙方必须在现场，验收完毕后作出验收结果报告；验收费用由乙方负责。</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11" w:firstLineChars="196"/>
        <w:textAlignment w:val="auto"/>
        <w:rPr>
          <w:b/>
        </w:rPr>
      </w:pPr>
      <w:r>
        <w:rPr>
          <w:rFonts w:hint="eastAsia"/>
          <w:b/>
        </w:rPr>
        <w:t>第十三条 货物包装、发运及运输</w:t>
      </w:r>
    </w:p>
    <w:p>
      <w:pPr>
        <w:pStyle w:val="29"/>
        <w:keepNext w:val="0"/>
        <w:keepLines w:val="0"/>
        <w:pageBreakBefore w:val="0"/>
        <w:widowControl w:val="0"/>
        <w:kinsoku/>
        <w:wordWrap/>
        <w:overflowPunct/>
        <w:topLinePunct w:val="0"/>
        <w:autoSpaceDE/>
        <w:autoSpaceDN/>
        <w:bidi w:val="0"/>
        <w:adjustRightInd/>
        <w:snapToGrid w:val="0"/>
        <w:spacing w:line="430" w:lineRule="exact"/>
        <w:ind w:left="420" w:leftChars="200"/>
        <w:textAlignment w:val="auto"/>
      </w:pPr>
      <w:r>
        <w:rPr>
          <w:rFonts w:hint="eastAsia"/>
        </w:rPr>
        <w:t>1. 乙方应在货物发运前对其进行满足运输距离、防潮、防震、防锈和防破损装卸等要求包装，以保证货物安全运达甲方指定地点。</w:t>
      </w:r>
    </w:p>
    <w:p>
      <w:pPr>
        <w:pStyle w:val="29"/>
        <w:keepNext w:val="0"/>
        <w:keepLines w:val="0"/>
        <w:pageBreakBefore w:val="0"/>
        <w:widowControl w:val="0"/>
        <w:kinsoku/>
        <w:wordWrap/>
        <w:overflowPunct/>
        <w:topLinePunct w:val="0"/>
        <w:autoSpaceDE/>
        <w:autoSpaceDN/>
        <w:bidi w:val="0"/>
        <w:adjustRightInd/>
        <w:snapToGrid w:val="0"/>
        <w:spacing w:line="430" w:lineRule="exact"/>
        <w:ind w:left="420" w:leftChars="200"/>
        <w:textAlignment w:val="auto"/>
      </w:pPr>
      <w:r>
        <w:rPr>
          <w:rFonts w:hint="eastAsia"/>
        </w:rPr>
        <w:t>2. 使用说明书、质量检验证明书、随配附件和工具以及清单一并附于货物内。</w:t>
      </w:r>
    </w:p>
    <w:p>
      <w:pPr>
        <w:pStyle w:val="29"/>
        <w:keepNext w:val="0"/>
        <w:keepLines w:val="0"/>
        <w:pageBreakBefore w:val="0"/>
        <w:widowControl w:val="0"/>
        <w:kinsoku/>
        <w:wordWrap/>
        <w:overflowPunct/>
        <w:topLinePunct w:val="0"/>
        <w:autoSpaceDE/>
        <w:autoSpaceDN/>
        <w:bidi w:val="0"/>
        <w:adjustRightInd/>
        <w:snapToGrid w:val="0"/>
        <w:spacing w:line="430" w:lineRule="exact"/>
        <w:ind w:left="420" w:leftChars="200"/>
        <w:textAlignment w:val="auto"/>
      </w:pPr>
      <w:r>
        <w:rPr>
          <w:rFonts w:hint="eastAsia"/>
        </w:rPr>
        <w:t>3. 乙方在货物发运手续办理完毕后二十四小时内或货到甲方四十八小时前通知甲方，以准备接货。</w:t>
      </w:r>
    </w:p>
    <w:p>
      <w:pPr>
        <w:pStyle w:val="29"/>
        <w:keepNext w:val="0"/>
        <w:keepLines w:val="0"/>
        <w:pageBreakBefore w:val="0"/>
        <w:widowControl w:val="0"/>
        <w:kinsoku/>
        <w:wordWrap/>
        <w:overflowPunct/>
        <w:topLinePunct w:val="0"/>
        <w:autoSpaceDE/>
        <w:autoSpaceDN/>
        <w:bidi w:val="0"/>
        <w:adjustRightInd/>
        <w:snapToGrid w:val="0"/>
        <w:spacing w:line="430" w:lineRule="exact"/>
        <w:ind w:left="420" w:leftChars="200"/>
        <w:textAlignment w:val="auto"/>
      </w:pPr>
      <w:r>
        <w:rPr>
          <w:rFonts w:hint="eastAsia"/>
        </w:rPr>
        <w:t>4. 货物在交付甲方前发生的风险均由乙方负责。</w:t>
      </w:r>
    </w:p>
    <w:p>
      <w:pPr>
        <w:pStyle w:val="29"/>
        <w:keepNext w:val="0"/>
        <w:keepLines w:val="0"/>
        <w:pageBreakBefore w:val="0"/>
        <w:widowControl w:val="0"/>
        <w:kinsoku/>
        <w:wordWrap/>
        <w:overflowPunct/>
        <w:topLinePunct w:val="0"/>
        <w:autoSpaceDE/>
        <w:autoSpaceDN/>
        <w:bidi w:val="0"/>
        <w:adjustRightInd/>
        <w:snapToGrid w:val="0"/>
        <w:spacing w:line="430" w:lineRule="exact"/>
        <w:ind w:left="420" w:leftChars="200" w:right="26"/>
        <w:textAlignment w:val="auto"/>
        <w:rPr>
          <w:spacing w:val="-8"/>
        </w:rPr>
      </w:pPr>
      <w:r>
        <w:rPr>
          <w:rFonts w:hint="eastAsia"/>
        </w:rPr>
        <w:t>5. 货</w:t>
      </w:r>
      <w:r>
        <w:rPr>
          <w:rFonts w:hint="eastAsia"/>
          <w:spacing w:val="-8"/>
        </w:rPr>
        <w:t>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b/>
          <w:szCs w:val="21"/>
        </w:rPr>
      </w:pPr>
      <w:r>
        <w:rPr>
          <w:rFonts w:hint="eastAsia" w:ascii="宋体"/>
          <w:b/>
          <w:szCs w:val="21"/>
        </w:rPr>
        <w:t>第十四条　违约责任</w:t>
      </w:r>
    </w:p>
    <w:p>
      <w:pPr>
        <w:keepNext w:val="0"/>
        <w:keepLines w:val="0"/>
        <w:pageBreakBefore w:val="0"/>
        <w:widowControl w:val="0"/>
        <w:kinsoku/>
        <w:wordWrap/>
        <w:overflowPunct/>
        <w:topLinePunct w:val="0"/>
        <w:autoSpaceDE/>
        <w:autoSpaceDN/>
        <w:bidi w:val="0"/>
        <w:adjustRightInd/>
        <w:snapToGrid w:val="0"/>
        <w:spacing w:line="430" w:lineRule="exact"/>
        <w:ind w:firstLine="525" w:firstLineChars="250"/>
        <w:textAlignment w:val="auto"/>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keepNext w:val="0"/>
        <w:keepLines w:val="0"/>
        <w:pageBreakBefore w:val="0"/>
        <w:widowControl w:val="0"/>
        <w:kinsoku/>
        <w:wordWrap/>
        <w:overflowPunct/>
        <w:topLinePunct w:val="0"/>
        <w:autoSpaceDE/>
        <w:autoSpaceDN/>
        <w:bidi w:val="0"/>
        <w:adjustRightInd/>
        <w:snapToGrid w:val="0"/>
        <w:spacing w:line="430" w:lineRule="exact"/>
        <w:ind w:firstLine="472" w:firstLineChars="225"/>
        <w:textAlignment w:val="auto"/>
        <w:rPr>
          <w:rFonts w:ascii="宋体"/>
          <w:szCs w:val="21"/>
        </w:rPr>
      </w:pPr>
      <w:r>
        <w:rPr>
          <w:rFonts w:hint="eastAsia" w:ascii="宋体"/>
          <w:szCs w:val="21"/>
        </w:rPr>
        <w:t>2．乙方提供的货物如侵犯了第三方合法权益而引发的任何纠纷或诉讼，均由乙方负责交涉并承担全部责任。</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3．因包装、运输引起的货物损坏，按质量不合格处罚。</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6．乙方提供的货物在质量保证期内，因设计、工艺或材料的缺陷和其他质量原因造成的问题，由乙方负责。</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7．其它违约行为按违约货款额5%收取违约金并赔偿经济损失。</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11" w:firstLineChars="196"/>
        <w:textAlignment w:val="auto"/>
        <w:rPr>
          <w:b/>
        </w:rPr>
      </w:pPr>
      <w:r>
        <w:rPr>
          <w:rFonts w:hint="eastAsia"/>
          <w:b/>
        </w:rPr>
        <w:t>第十五条  不可抗力事件处理</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ascii="宋体"/>
          <w:szCs w:val="21"/>
        </w:rPr>
        <w:t>2. 不可抗</w:t>
      </w:r>
      <w:r>
        <w:rPr>
          <w:rFonts w:hint="eastAsia"/>
        </w:rPr>
        <w:t>力事件发生后，应立即通知对方，并寄送有关权威机构出具的证明。</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pPr>
      <w:r>
        <w:rPr>
          <w:rFonts w:hint="eastAsia"/>
        </w:rPr>
        <w:t>3. 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b/>
          <w:szCs w:val="21"/>
        </w:rPr>
        <w:t>第十六条  合同争议解决</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3．诉讼期间，本合同继续履行。</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11" w:firstLineChars="196"/>
        <w:textAlignment w:val="auto"/>
        <w:rPr>
          <w:b/>
        </w:rPr>
      </w:pPr>
      <w:r>
        <w:rPr>
          <w:rFonts w:hint="eastAsia"/>
          <w:b/>
        </w:rPr>
        <w:t>第十七条  诉讼</w:t>
      </w:r>
    </w:p>
    <w:p>
      <w:pPr>
        <w:pStyle w:val="29"/>
        <w:keepNext w:val="0"/>
        <w:keepLines w:val="0"/>
        <w:pageBreakBefore w:val="0"/>
        <w:widowControl w:val="0"/>
        <w:kinsoku/>
        <w:wordWrap/>
        <w:overflowPunct/>
        <w:topLinePunct w:val="0"/>
        <w:autoSpaceDE/>
        <w:autoSpaceDN/>
        <w:bidi w:val="0"/>
        <w:adjustRightInd/>
        <w:snapToGrid w:val="0"/>
        <w:spacing w:line="430" w:lineRule="exact"/>
        <w:textAlignment w:val="auto"/>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keepNext w:val="0"/>
        <w:keepLines w:val="0"/>
        <w:pageBreakBefore w:val="0"/>
        <w:widowControl w:val="0"/>
        <w:kinsoku/>
        <w:wordWrap/>
        <w:overflowPunct/>
        <w:topLinePunct w:val="0"/>
        <w:autoSpaceDE/>
        <w:autoSpaceDN/>
        <w:bidi w:val="0"/>
        <w:adjustRightInd/>
        <w:snapToGrid w:val="0"/>
        <w:spacing w:line="430" w:lineRule="exact"/>
        <w:textAlignment w:val="auto"/>
        <w:rPr>
          <w:b/>
        </w:rPr>
      </w:pPr>
      <w:r>
        <w:rPr>
          <w:rFonts w:hint="eastAsia"/>
          <w:b/>
        </w:rPr>
        <w:t xml:space="preserve">    第十八条  合同生效及其他</w:t>
      </w:r>
    </w:p>
    <w:p>
      <w:pPr>
        <w:pStyle w:val="29"/>
        <w:keepNext w:val="0"/>
        <w:keepLines w:val="0"/>
        <w:pageBreakBefore w:val="0"/>
        <w:widowControl w:val="0"/>
        <w:kinsoku/>
        <w:wordWrap/>
        <w:overflowPunct/>
        <w:topLinePunct w:val="0"/>
        <w:autoSpaceDE/>
        <w:autoSpaceDN/>
        <w:bidi w:val="0"/>
        <w:adjustRightInd/>
        <w:snapToGrid w:val="0"/>
        <w:spacing w:line="430" w:lineRule="exact"/>
        <w:textAlignment w:val="auto"/>
      </w:pPr>
      <w:r>
        <w:rPr>
          <w:rFonts w:hint="eastAsia"/>
          <w:b/>
        </w:rPr>
        <w:t xml:space="preserve">   </w:t>
      </w:r>
      <w:r>
        <w:rPr>
          <w:rFonts w:hint="eastAsia"/>
        </w:rPr>
        <w:t xml:space="preserve"> 1．合同经双方法定代表人或授权代表签字并加盖单位公章后生效。</w:t>
      </w:r>
    </w:p>
    <w:p>
      <w:pPr>
        <w:pStyle w:val="29"/>
        <w:keepNext w:val="0"/>
        <w:keepLines w:val="0"/>
        <w:pageBreakBefore w:val="0"/>
        <w:widowControl w:val="0"/>
        <w:kinsoku/>
        <w:wordWrap/>
        <w:overflowPunct/>
        <w:topLinePunct w:val="0"/>
        <w:autoSpaceDE/>
        <w:autoSpaceDN/>
        <w:bidi w:val="0"/>
        <w:adjustRightInd/>
        <w:snapToGrid w:val="0"/>
        <w:spacing w:line="430" w:lineRule="exact"/>
        <w:textAlignment w:val="auto"/>
      </w:pPr>
      <w:r>
        <w:rPr>
          <w:rFonts w:hint="eastAsia"/>
        </w:rPr>
        <w:t xml:space="preserve">    2．合同执行中涉及采购资金和采购内容修改或补充的，须经财政部门审批，并签订书面补充协议报财政部门备案，方可作为主合同不可分割的一部分。</w:t>
      </w:r>
    </w:p>
    <w:p>
      <w:pPr>
        <w:pStyle w:val="29"/>
        <w:keepNext w:val="0"/>
        <w:keepLines w:val="0"/>
        <w:pageBreakBefore w:val="0"/>
        <w:widowControl w:val="0"/>
        <w:kinsoku/>
        <w:wordWrap/>
        <w:overflowPunct/>
        <w:topLinePunct w:val="0"/>
        <w:autoSpaceDE/>
        <w:autoSpaceDN/>
        <w:bidi w:val="0"/>
        <w:adjustRightInd/>
        <w:snapToGrid w:val="0"/>
        <w:spacing w:line="430" w:lineRule="exact"/>
        <w:textAlignment w:val="auto"/>
      </w:pPr>
      <w:r>
        <w:rPr>
          <w:rFonts w:hint="eastAsia"/>
        </w:rPr>
        <w:t xml:space="preserve">    3．本合同未尽事宜，遵照《中华人民共和国民法典》有关条文执行。</w:t>
      </w:r>
    </w:p>
    <w:p>
      <w:pPr>
        <w:pStyle w:val="29"/>
        <w:keepNext w:val="0"/>
        <w:keepLines w:val="0"/>
        <w:pageBreakBefore w:val="0"/>
        <w:widowControl w:val="0"/>
        <w:kinsoku/>
        <w:wordWrap/>
        <w:overflowPunct/>
        <w:topLinePunct w:val="0"/>
        <w:autoSpaceDE/>
        <w:autoSpaceDN/>
        <w:bidi w:val="0"/>
        <w:adjustRightInd/>
        <w:snapToGrid w:val="0"/>
        <w:spacing w:line="430" w:lineRule="exact"/>
        <w:textAlignment w:val="auto"/>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b/>
          <w:szCs w:val="21"/>
        </w:rPr>
      </w:pPr>
      <w:r>
        <w:rPr>
          <w:rFonts w:hint="eastAsia" w:ascii="宋体"/>
          <w:b/>
          <w:szCs w:val="21"/>
        </w:rPr>
        <w:t>第十九条　合同的变更、终止与转让</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1．除《中华人民共和国政府采购法》第五十条规定的情形外，本合同一经签订，甲乙双方不得变更、中止或终止。</w:t>
      </w:r>
    </w:p>
    <w:p>
      <w:pPr>
        <w:pStyle w:val="29"/>
        <w:keepNext w:val="0"/>
        <w:keepLines w:val="0"/>
        <w:pageBreakBefore w:val="0"/>
        <w:widowControl w:val="0"/>
        <w:kinsoku/>
        <w:wordWrap/>
        <w:overflowPunct/>
        <w:topLinePunct w:val="0"/>
        <w:autoSpaceDE/>
        <w:autoSpaceDN/>
        <w:bidi w:val="0"/>
        <w:adjustRightInd/>
        <w:snapToGrid w:val="0"/>
        <w:spacing w:line="430" w:lineRule="exact"/>
        <w:ind w:firstLine="411" w:firstLineChars="196"/>
        <w:textAlignment w:val="auto"/>
        <w:rPr>
          <w:b/>
        </w:rPr>
      </w:pPr>
      <w:r>
        <w:rPr>
          <w:rFonts w:hint="eastAsia"/>
        </w:rPr>
        <w:t>2．乙方不得转让（无进口资格的供应商委托进口货物除外）其应履行的合同义务。</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b/>
          <w:szCs w:val="21"/>
        </w:rPr>
      </w:pPr>
      <w:r>
        <w:rPr>
          <w:rFonts w:hint="eastAsia" w:ascii="宋体"/>
          <w:b/>
          <w:szCs w:val="21"/>
        </w:rPr>
        <w:t>第二十条　签订本合同依据</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1．政府采购招标文件；</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2．乙方提供的投标文件；</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szCs w:val="21"/>
        </w:rPr>
        <w:t>3．投标承诺书；</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u w:val="single"/>
        </w:rPr>
      </w:pPr>
      <w:r>
        <w:rPr>
          <w:rFonts w:hint="eastAsia" w:ascii="宋体"/>
          <w:szCs w:val="21"/>
        </w:rPr>
        <w:t>4．中标通知书。</w:t>
      </w:r>
    </w:p>
    <w:p>
      <w:pPr>
        <w:keepNext w:val="0"/>
        <w:keepLines w:val="0"/>
        <w:pageBreakBefore w:val="0"/>
        <w:widowControl w:val="0"/>
        <w:kinsoku/>
        <w:wordWrap/>
        <w:overflowPunct/>
        <w:topLinePunct w:val="0"/>
        <w:autoSpaceDE/>
        <w:autoSpaceDN/>
        <w:bidi w:val="0"/>
        <w:adjustRightInd/>
        <w:snapToGrid w:val="0"/>
        <w:spacing w:line="430" w:lineRule="exact"/>
        <w:ind w:firstLine="420" w:firstLineChars="200"/>
        <w:textAlignment w:val="auto"/>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6"/>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Style w:val="2"/>
        <w:rPr>
          <w:rFonts w:hint="eastAsia"/>
          <w:sz w:val="21"/>
          <w:szCs w:val="21"/>
        </w:rPr>
      </w:pP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pgSz w:w="11906" w:h="16838"/>
      <w:pgMar w:top="1134" w:right="1134" w:bottom="1134" w:left="1134" w:header="851" w:footer="992"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医用直线加速器</w:t>
    </w:r>
    <w:r>
      <w:rPr>
        <w:rFonts w:hint="default" w:ascii="宋体" w:hAnsi="宋体" w:cs="宋体"/>
        <w:b w:val="0"/>
        <w:sz w:val="18"/>
        <w:szCs w:val="18"/>
        <w:lang w:val="en"/>
      </w:rPr>
      <w:t>)集中采购</w:t>
    </w:r>
    <w:r>
      <w:rPr>
        <w:rFonts w:hint="eastAsia"/>
      </w:rPr>
      <w:t>（</w:t>
    </w:r>
    <w:r>
      <w:rPr>
        <w:rFonts w:hint="eastAsia"/>
        <w:lang w:val="en" w:eastAsia="zh"/>
      </w:rPr>
      <w:t>GXZC2025-G1-003038-JYZX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医用直线加速器</w:t>
    </w:r>
    <w:r>
      <w:rPr>
        <w:rFonts w:hint="default" w:ascii="宋体" w:hAnsi="宋体" w:cs="宋体"/>
        <w:b w:val="0"/>
        <w:sz w:val="18"/>
        <w:szCs w:val="18"/>
        <w:lang w:val="en"/>
      </w:rPr>
      <w:t>)集中采购</w:t>
    </w:r>
    <w:r>
      <w:rPr>
        <w:rFonts w:hint="eastAsia"/>
      </w:rPr>
      <w:t>（</w:t>
    </w:r>
    <w:r>
      <w:rPr>
        <w:rFonts w:hint="eastAsia"/>
        <w:lang w:val="en" w:eastAsia="zh"/>
      </w:rPr>
      <w:t>GXZC2025-G1-003038-JYZX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99B379E"/>
    <w:rsid w:val="09A6367E"/>
    <w:rsid w:val="09AA9F9A"/>
    <w:rsid w:val="09CD3B14"/>
    <w:rsid w:val="0A36027E"/>
    <w:rsid w:val="0A8C5119"/>
    <w:rsid w:val="0ADF2E0E"/>
    <w:rsid w:val="0BE5CBCD"/>
    <w:rsid w:val="0C080FC2"/>
    <w:rsid w:val="0C1E3E07"/>
    <w:rsid w:val="0CEE2D9A"/>
    <w:rsid w:val="0DDB94AA"/>
    <w:rsid w:val="0DEA67B6"/>
    <w:rsid w:val="0E390906"/>
    <w:rsid w:val="0EE759A1"/>
    <w:rsid w:val="0F195338"/>
    <w:rsid w:val="0F7384D1"/>
    <w:rsid w:val="0F940BBB"/>
    <w:rsid w:val="0FEF5D2E"/>
    <w:rsid w:val="0FFFD5B9"/>
    <w:rsid w:val="10D114E2"/>
    <w:rsid w:val="12071CCC"/>
    <w:rsid w:val="13A42E00"/>
    <w:rsid w:val="13B55D14"/>
    <w:rsid w:val="13FB89E4"/>
    <w:rsid w:val="13FF02CE"/>
    <w:rsid w:val="13FF6337"/>
    <w:rsid w:val="1589A108"/>
    <w:rsid w:val="15DFA56A"/>
    <w:rsid w:val="173F2747"/>
    <w:rsid w:val="179F1141"/>
    <w:rsid w:val="17AA14A0"/>
    <w:rsid w:val="17B06C4E"/>
    <w:rsid w:val="17DF568D"/>
    <w:rsid w:val="17DFAE35"/>
    <w:rsid w:val="17EF498B"/>
    <w:rsid w:val="18AB16F5"/>
    <w:rsid w:val="18AE18D6"/>
    <w:rsid w:val="18B417D8"/>
    <w:rsid w:val="18CC2CDE"/>
    <w:rsid w:val="19236D1A"/>
    <w:rsid w:val="193130F9"/>
    <w:rsid w:val="197DE5B9"/>
    <w:rsid w:val="1BB39839"/>
    <w:rsid w:val="1BFB9A89"/>
    <w:rsid w:val="1BFE6EA7"/>
    <w:rsid w:val="1BFFA145"/>
    <w:rsid w:val="1C0C5B91"/>
    <w:rsid w:val="1C7F7848"/>
    <w:rsid w:val="1CAC2755"/>
    <w:rsid w:val="1CEA3410"/>
    <w:rsid w:val="1CFFB938"/>
    <w:rsid w:val="1D203BBB"/>
    <w:rsid w:val="1D7F0C90"/>
    <w:rsid w:val="1DAF891A"/>
    <w:rsid w:val="1DF4B453"/>
    <w:rsid w:val="1DF9FDB1"/>
    <w:rsid w:val="1EFBB41D"/>
    <w:rsid w:val="1EFECD63"/>
    <w:rsid w:val="1F570490"/>
    <w:rsid w:val="1F7F67C6"/>
    <w:rsid w:val="1F9B38DD"/>
    <w:rsid w:val="1F9BB5B2"/>
    <w:rsid w:val="1FED5EEE"/>
    <w:rsid w:val="1FF53B50"/>
    <w:rsid w:val="1FFF52BC"/>
    <w:rsid w:val="1FFF63E3"/>
    <w:rsid w:val="1FFFEC08"/>
    <w:rsid w:val="20CC50A8"/>
    <w:rsid w:val="20FF8A2E"/>
    <w:rsid w:val="210B22AC"/>
    <w:rsid w:val="215BA186"/>
    <w:rsid w:val="22627005"/>
    <w:rsid w:val="23790901"/>
    <w:rsid w:val="237FB731"/>
    <w:rsid w:val="23B835E7"/>
    <w:rsid w:val="23BF0929"/>
    <w:rsid w:val="246430E5"/>
    <w:rsid w:val="24646193"/>
    <w:rsid w:val="256AEECB"/>
    <w:rsid w:val="25DC4E14"/>
    <w:rsid w:val="25FE780A"/>
    <w:rsid w:val="266D38A3"/>
    <w:rsid w:val="26F14514"/>
    <w:rsid w:val="26FCD3F9"/>
    <w:rsid w:val="26FE6946"/>
    <w:rsid w:val="27A54CE8"/>
    <w:rsid w:val="27F7604A"/>
    <w:rsid w:val="27FED097"/>
    <w:rsid w:val="28084732"/>
    <w:rsid w:val="28135B26"/>
    <w:rsid w:val="287AB881"/>
    <w:rsid w:val="28837859"/>
    <w:rsid w:val="28B17509"/>
    <w:rsid w:val="28CF13D5"/>
    <w:rsid w:val="292A4865"/>
    <w:rsid w:val="295A2878"/>
    <w:rsid w:val="29774816"/>
    <w:rsid w:val="2AD7057D"/>
    <w:rsid w:val="2AF98169"/>
    <w:rsid w:val="2AFF58BB"/>
    <w:rsid w:val="2B173CE2"/>
    <w:rsid w:val="2B37FAF5"/>
    <w:rsid w:val="2B9ECB5A"/>
    <w:rsid w:val="2BACB28B"/>
    <w:rsid w:val="2CBDA9A4"/>
    <w:rsid w:val="2CBDB223"/>
    <w:rsid w:val="2CEB238A"/>
    <w:rsid w:val="2CEFD60D"/>
    <w:rsid w:val="2D0C5FD7"/>
    <w:rsid w:val="2D145C50"/>
    <w:rsid w:val="2D3B3FB1"/>
    <w:rsid w:val="2DB274E9"/>
    <w:rsid w:val="2DCD2251"/>
    <w:rsid w:val="2DE81100"/>
    <w:rsid w:val="2DEC75AA"/>
    <w:rsid w:val="2DED7BA8"/>
    <w:rsid w:val="2DFDECDE"/>
    <w:rsid w:val="2E9302D0"/>
    <w:rsid w:val="2EB60BCE"/>
    <w:rsid w:val="2EB6807E"/>
    <w:rsid w:val="2EEF454B"/>
    <w:rsid w:val="2EF7A352"/>
    <w:rsid w:val="2F057303"/>
    <w:rsid w:val="2F5BD637"/>
    <w:rsid w:val="2F7C5615"/>
    <w:rsid w:val="2F9D1559"/>
    <w:rsid w:val="2FDF41E0"/>
    <w:rsid w:val="2FDF854B"/>
    <w:rsid w:val="2FE513EE"/>
    <w:rsid w:val="2FE51D81"/>
    <w:rsid w:val="2FEFA5AB"/>
    <w:rsid w:val="2FF91F46"/>
    <w:rsid w:val="2FFD4134"/>
    <w:rsid w:val="2FFE0C1B"/>
    <w:rsid w:val="2FFF75FC"/>
    <w:rsid w:val="30077C66"/>
    <w:rsid w:val="3013041F"/>
    <w:rsid w:val="301A0E6A"/>
    <w:rsid w:val="31BF1FF0"/>
    <w:rsid w:val="31CFE6AB"/>
    <w:rsid w:val="31F9436D"/>
    <w:rsid w:val="32BE5BC9"/>
    <w:rsid w:val="32F347CF"/>
    <w:rsid w:val="33576316"/>
    <w:rsid w:val="33FBB76E"/>
    <w:rsid w:val="33FE82DA"/>
    <w:rsid w:val="33FF0E7A"/>
    <w:rsid w:val="34372196"/>
    <w:rsid w:val="34565170"/>
    <w:rsid w:val="351D423D"/>
    <w:rsid w:val="35BF6AFC"/>
    <w:rsid w:val="35CF8C50"/>
    <w:rsid w:val="35D7B9E1"/>
    <w:rsid w:val="35FE59B8"/>
    <w:rsid w:val="364F4412"/>
    <w:rsid w:val="36740672"/>
    <w:rsid w:val="369B75DB"/>
    <w:rsid w:val="375B2B07"/>
    <w:rsid w:val="375F9984"/>
    <w:rsid w:val="376C6118"/>
    <w:rsid w:val="377D27C9"/>
    <w:rsid w:val="37A56AD0"/>
    <w:rsid w:val="37AE703A"/>
    <w:rsid w:val="37BDCCEC"/>
    <w:rsid w:val="37CC3E75"/>
    <w:rsid w:val="37DFAC27"/>
    <w:rsid w:val="37EF1BD4"/>
    <w:rsid w:val="37F7FC57"/>
    <w:rsid w:val="37F960C4"/>
    <w:rsid w:val="37FBE143"/>
    <w:rsid w:val="37FD0515"/>
    <w:rsid w:val="37FF7988"/>
    <w:rsid w:val="37FFBB11"/>
    <w:rsid w:val="389E24D1"/>
    <w:rsid w:val="38E369BE"/>
    <w:rsid w:val="38FF9528"/>
    <w:rsid w:val="393609BF"/>
    <w:rsid w:val="396F13CB"/>
    <w:rsid w:val="39785B8F"/>
    <w:rsid w:val="397EB1A3"/>
    <w:rsid w:val="39CD4409"/>
    <w:rsid w:val="39F76B62"/>
    <w:rsid w:val="39FFEFD7"/>
    <w:rsid w:val="3A356BDC"/>
    <w:rsid w:val="3A771B79"/>
    <w:rsid w:val="3AC919C4"/>
    <w:rsid w:val="3AFA7670"/>
    <w:rsid w:val="3AFFA19C"/>
    <w:rsid w:val="3AFFE85A"/>
    <w:rsid w:val="3B34B937"/>
    <w:rsid w:val="3B3FEFC1"/>
    <w:rsid w:val="3B731E2E"/>
    <w:rsid w:val="3B7FA7AD"/>
    <w:rsid w:val="3B7FB13A"/>
    <w:rsid w:val="3B7FE854"/>
    <w:rsid w:val="3BB63F71"/>
    <w:rsid w:val="3BBF6DA0"/>
    <w:rsid w:val="3BCD4F54"/>
    <w:rsid w:val="3BDFAE1F"/>
    <w:rsid w:val="3BEDD4DC"/>
    <w:rsid w:val="3BEF3C8A"/>
    <w:rsid w:val="3BEFFD0F"/>
    <w:rsid w:val="3BF43544"/>
    <w:rsid w:val="3BF68F27"/>
    <w:rsid w:val="3BF90170"/>
    <w:rsid w:val="3BFB73C7"/>
    <w:rsid w:val="3BFDDE1C"/>
    <w:rsid w:val="3BFECDD7"/>
    <w:rsid w:val="3BFF90E8"/>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F31102"/>
    <w:rsid w:val="3DF52AB8"/>
    <w:rsid w:val="3DFD2AFE"/>
    <w:rsid w:val="3DFF64E3"/>
    <w:rsid w:val="3DFF7A6B"/>
    <w:rsid w:val="3E5720DE"/>
    <w:rsid w:val="3E6B1B28"/>
    <w:rsid w:val="3E7F6C39"/>
    <w:rsid w:val="3E8FC2DE"/>
    <w:rsid w:val="3E95439E"/>
    <w:rsid w:val="3E9EE038"/>
    <w:rsid w:val="3EBC1971"/>
    <w:rsid w:val="3EDE5B66"/>
    <w:rsid w:val="3EEAA6DC"/>
    <w:rsid w:val="3EEBCEDF"/>
    <w:rsid w:val="3EFA2E48"/>
    <w:rsid w:val="3F073F01"/>
    <w:rsid w:val="3F184181"/>
    <w:rsid w:val="3F23E1B4"/>
    <w:rsid w:val="3F47D3B4"/>
    <w:rsid w:val="3F5A88B5"/>
    <w:rsid w:val="3F764185"/>
    <w:rsid w:val="3F7772C4"/>
    <w:rsid w:val="3F777CE3"/>
    <w:rsid w:val="3F7BCBF6"/>
    <w:rsid w:val="3F7BEBC8"/>
    <w:rsid w:val="3F7EFFCA"/>
    <w:rsid w:val="3F7FBC98"/>
    <w:rsid w:val="3F9F6A6A"/>
    <w:rsid w:val="3FBB4D67"/>
    <w:rsid w:val="3FBB9005"/>
    <w:rsid w:val="3FBEF935"/>
    <w:rsid w:val="3FBF92B2"/>
    <w:rsid w:val="3FDE090D"/>
    <w:rsid w:val="3FDF7788"/>
    <w:rsid w:val="3FDFDA10"/>
    <w:rsid w:val="3FE65D79"/>
    <w:rsid w:val="3FE7ACDC"/>
    <w:rsid w:val="3FE9435B"/>
    <w:rsid w:val="3FEA4921"/>
    <w:rsid w:val="3FED5EF2"/>
    <w:rsid w:val="3FED9ED5"/>
    <w:rsid w:val="3FF3A1F6"/>
    <w:rsid w:val="3FF5DE90"/>
    <w:rsid w:val="3FF7C8C8"/>
    <w:rsid w:val="3FF7D284"/>
    <w:rsid w:val="3FF7F6EA"/>
    <w:rsid w:val="3FFAFBA8"/>
    <w:rsid w:val="3FFE4971"/>
    <w:rsid w:val="3FFE82FB"/>
    <w:rsid w:val="3FFF017B"/>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7F5943"/>
    <w:rsid w:val="4797AA05"/>
    <w:rsid w:val="47BE6982"/>
    <w:rsid w:val="47F35980"/>
    <w:rsid w:val="48384622"/>
    <w:rsid w:val="48FC0DFD"/>
    <w:rsid w:val="491F70FA"/>
    <w:rsid w:val="493B2EB0"/>
    <w:rsid w:val="49E656E9"/>
    <w:rsid w:val="4AD6D732"/>
    <w:rsid w:val="4B284CD2"/>
    <w:rsid w:val="4B5F7387"/>
    <w:rsid w:val="4BBD9EA8"/>
    <w:rsid w:val="4BBF773E"/>
    <w:rsid w:val="4BCBA875"/>
    <w:rsid w:val="4BDBE558"/>
    <w:rsid w:val="4BE90E3B"/>
    <w:rsid w:val="4BEF5CE0"/>
    <w:rsid w:val="4BFF4138"/>
    <w:rsid w:val="4C032FAE"/>
    <w:rsid w:val="4D3ADD57"/>
    <w:rsid w:val="4D40385F"/>
    <w:rsid w:val="4D4D213E"/>
    <w:rsid w:val="4D84661B"/>
    <w:rsid w:val="4D891FDA"/>
    <w:rsid w:val="4D9407A7"/>
    <w:rsid w:val="4D99C30F"/>
    <w:rsid w:val="4DD30CC7"/>
    <w:rsid w:val="4E3A3764"/>
    <w:rsid w:val="4E3B3813"/>
    <w:rsid w:val="4EA7482D"/>
    <w:rsid w:val="4EBD78B5"/>
    <w:rsid w:val="4EBE9F53"/>
    <w:rsid w:val="4EBEB2F0"/>
    <w:rsid w:val="4EBF8859"/>
    <w:rsid w:val="4ED732C6"/>
    <w:rsid w:val="4EDFE6ED"/>
    <w:rsid w:val="4EFA3227"/>
    <w:rsid w:val="4EFD194A"/>
    <w:rsid w:val="4F724781"/>
    <w:rsid w:val="4F765944"/>
    <w:rsid w:val="4F7B89B7"/>
    <w:rsid w:val="4F7FE44D"/>
    <w:rsid w:val="4F8C61C8"/>
    <w:rsid w:val="4FB11E15"/>
    <w:rsid w:val="4FCE5993"/>
    <w:rsid w:val="4FDCC181"/>
    <w:rsid w:val="4FF4BA0B"/>
    <w:rsid w:val="4FF89153"/>
    <w:rsid w:val="4FFB9710"/>
    <w:rsid w:val="51975C59"/>
    <w:rsid w:val="51A25CF2"/>
    <w:rsid w:val="51B055F1"/>
    <w:rsid w:val="51E15EBF"/>
    <w:rsid w:val="51FD7F72"/>
    <w:rsid w:val="524316A6"/>
    <w:rsid w:val="52624F05"/>
    <w:rsid w:val="52D2383C"/>
    <w:rsid w:val="537E9791"/>
    <w:rsid w:val="53A37B3E"/>
    <w:rsid w:val="53DF0EA3"/>
    <w:rsid w:val="53F876A5"/>
    <w:rsid w:val="53FE0D54"/>
    <w:rsid w:val="53FF8C90"/>
    <w:rsid w:val="545D5CF0"/>
    <w:rsid w:val="54CFDA31"/>
    <w:rsid w:val="54F57839"/>
    <w:rsid w:val="54FE8266"/>
    <w:rsid w:val="55C93B3C"/>
    <w:rsid w:val="5674EEB4"/>
    <w:rsid w:val="567E6A7C"/>
    <w:rsid w:val="56BF1C44"/>
    <w:rsid w:val="56F6DFCA"/>
    <w:rsid w:val="570F2DED"/>
    <w:rsid w:val="5718C784"/>
    <w:rsid w:val="577F1982"/>
    <w:rsid w:val="57887F8F"/>
    <w:rsid w:val="57ADFC77"/>
    <w:rsid w:val="57AF770B"/>
    <w:rsid w:val="57B43952"/>
    <w:rsid w:val="57BADDED"/>
    <w:rsid w:val="57CF87DD"/>
    <w:rsid w:val="57DC8E08"/>
    <w:rsid w:val="57DF8E87"/>
    <w:rsid w:val="57E92985"/>
    <w:rsid w:val="57F7593A"/>
    <w:rsid w:val="57F769AC"/>
    <w:rsid w:val="57FA7183"/>
    <w:rsid w:val="57FADCF1"/>
    <w:rsid w:val="5874668E"/>
    <w:rsid w:val="593A2D34"/>
    <w:rsid w:val="593FFEBE"/>
    <w:rsid w:val="594D5B7D"/>
    <w:rsid w:val="597D0F51"/>
    <w:rsid w:val="59C55412"/>
    <w:rsid w:val="59CF682E"/>
    <w:rsid w:val="59FED8D0"/>
    <w:rsid w:val="5A170152"/>
    <w:rsid w:val="5A3FA7DE"/>
    <w:rsid w:val="5A6DBC2E"/>
    <w:rsid w:val="5A7ECE15"/>
    <w:rsid w:val="5AB51522"/>
    <w:rsid w:val="5ADB2FC7"/>
    <w:rsid w:val="5AFE8CCA"/>
    <w:rsid w:val="5B4FACEE"/>
    <w:rsid w:val="5B693AA4"/>
    <w:rsid w:val="5B7D2F90"/>
    <w:rsid w:val="5B9FB915"/>
    <w:rsid w:val="5BB74C3B"/>
    <w:rsid w:val="5BDDBA6A"/>
    <w:rsid w:val="5BE373B9"/>
    <w:rsid w:val="5BE6741F"/>
    <w:rsid w:val="5BED0BA5"/>
    <w:rsid w:val="5BED428F"/>
    <w:rsid w:val="5BEDF2DC"/>
    <w:rsid w:val="5BF42238"/>
    <w:rsid w:val="5BFFA924"/>
    <w:rsid w:val="5CC5AA5A"/>
    <w:rsid w:val="5CF7F1CF"/>
    <w:rsid w:val="5CFF6120"/>
    <w:rsid w:val="5CFF8A29"/>
    <w:rsid w:val="5D912E1C"/>
    <w:rsid w:val="5DBE8EE8"/>
    <w:rsid w:val="5DF1244D"/>
    <w:rsid w:val="5DF7AE63"/>
    <w:rsid w:val="5DF7BDD0"/>
    <w:rsid w:val="5DFEAEE7"/>
    <w:rsid w:val="5DFF46BD"/>
    <w:rsid w:val="5DFF4BA7"/>
    <w:rsid w:val="5DFFB9CA"/>
    <w:rsid w:val="5E3FE386"/>
    <w:rsid w:val="5E6D0E37"/>
    <w:rsid w:val="5EA83F26"/>
    <w:rsid w:val="5EA984FB"/>
    <w:rsid w:val="5EAD703E"/>
    <w:rsid w:val="5EBFDA86"/>
    <w:rsid w:val="5EE5E5BD"/>
    <w:rsid w:val="5EEB6D2C"/>
    <w:rsid w:val="5EEB977C"/>
    <w:rsid w:val="5EEF6BC3"/>
    <w:rsid w:val="5EFE63D5"/>
    <w:rsid w:val="5EFE7016"/>
    <w:rsid w:val="5F1DF69C"/>
    <w:rsid w:val="5F32BCA4"/>
    <w:rsid w:val="5F35E7DE"/>
    <w:rsid w:val="5F39E4B6"/>
    <w:rsid w:val="5F3E6D3B"/>
    <w:rsid w:val="5F54233B"/>
    <w:rsid w:val="5F574848"/>
    <w:rsid w:val="5F658591"/>
    <w:rsid w:val="5F7E530C"/>
    <w:rsid w:val="5F7F5D59"/>
    <w:rsid w:val="5F9B0961"/>
    <w:rsid w:val="5F9BC50E"/>
    <w:rsid w:val="5FAA6342"/>
    <w:rsid w:val="5FADABA7"/>
    <w:rsid w:val="5FBB3D08"/>
    <w:rsid w:val="5FBF1FC3"/>
    <w:rsid w:val="5FBF55C6"/>
    <w:rsid w:val="5FCE562F"/>
    <w:rsid w:val="5FCFFBB0"/>
    <w:rsid w:val="5FD56FC2"/>
    <w:rsid w:val="5FDBA3BF"/>
    <w:rsid w:val="5FDE8D79"/>
    <w:rsid w:val="5FDEBD5C"/>
    <w:rsid w:val="5FDF2AAC"/>
    <w:rsid w:val="5FDF8298"/>
    <w:rsid w:val="5FDFBE79"/>
    <w:rsid w:val="5FE423BE"/>
    <w:rsid w:val="5FEDE379"/>
    <w:rsid w:val="5FEF12BF"/>
    <w:rsid w:val="5FEF6660"/>
    <w:rsid w:val="5FF40D00"/>
    <w:rsid w:val="5FF665A2"/>
    <w:rsid w:val="5FF93A98"/>
    <w:rsid w:val="5FFBEFA0"/>
    <w:rsid w:val="5FFE3626"/>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FDD03D"/>
    <w:rsid w:val="63FFB7CF"/>
    <w:rsid w:val="63FFEAA0"/>
    <w:rsid w:val="642C604E"/>
    <w:rsid w:val="644EACB3"/>
    <w:rsid w:val="64601C26"/>
    <w:rsid w:val="64897A15"/>
    <w:rsid w:val="64DC31AC"/>
    <w:rsid w:val="64FF5833"/>
    <w:rsid w:val="64FFCC4F"/>
    <w:rsid w:val="65B974BF"/>
    <w:rsid w:val="65FDF064"/>
    <w:rsid w:val="669F29C1"/>
    <w:rsid w:val="66AEF7D2"/>
    <w:rsid w:val="66AF4824"/>
    <w:rsid w:val="66C978D5"/>
    <w:rsid w:val="66DF5D97"/>
    <w:rsid w:val="66EF5FE3"/>
    <w:rsid w:val="66F72AE4"/>
    <w:rsid w:val="6707BF6B"/>
    <w:rsid w:val="670A2826"/>
    <w:rsid w:val="671F73A2"/>
    <w:rsid w:val="673D3DA9"/>
    <w:rsid w:val="677102D7"/>
    <w:rsid w:val="67754F8F"/>
    <w:rsid w:val="67AF63DE"/>
    <w:rsid w:val="67E20FB7"/>
    <w:rsid w:val="67ED4620"/>
    <w:rsid w:val="67EFEB09"/>
    <w:rsid w:val="67F98D16"/>
    <w:rsid w:val="67FB42EF"/>
    <w:rsid w:val="67FE7DB4"/>
    <w:rsid w:val="68AA7332"/>
    <w:rsid w:val="68FF1501"/>
    <w:rsid w:val="69086C9F"/>
    <w:rsid w:val="6988A73E"/>
    <w:rsid w:val="69EFB287"/>
    <w:rsid w:val="69F7B1C7"/>
    <w:rsid w:val="6A421CB9"/>
    <w:rsid w:val="6A783458"/>
    <w:rsid w:val="6AC6D2D0"/>
    <w:rsid w:val="6ADFC75A"/>
    <w:rsid w:val="6B0E0676"/>
    <w:rsid w:val="6B1A32DB"/>
    <w:rsid w:val="6B2333AE"/>
    <w:rsid w:val="6B7CA9DC"/>
    <w:rsid w:val="6B7FC646"/>
    <w:rsid w:val="6B8317E6"/>
    <w:rsid w:val="6B9F6C77"/>
    <w:rsid w:val="6BA6EFFB"/>
    <w:rsid w:val="6BB6F1F0"/>
    <w:rsid w:val="6BBB934F"/>
    <w:rsid w:val="6BD68D5A"/>
    <w:rsid w:val="6BDB5118"/>
    <w:rsid w:val="6BDB835E"/>
    <w:rsid w:val="6BEB7BA8"/>
    <w:rsid w:val="6BEF0584"/>
    <w:rsid w:val="6BFF8DD8"/>
    <w:rsid w:val="6BFFE5DD"/>
    <w:rsid w:val="6C7F65E4"/>
    <w:rsid w:val="6CBF39FF"/>
    <w:rsid w:val="6CEB7557"/>
    <w:rsid w:val="6D390CAA"/>
    <w:rsid w:val="6D435430"/>
    <w:rsid w:val="6D7D3F04"/>
    <w:rsid w:val="6D8D1129"/>
    <w:rsid w:val="6DA97D7C"/>
    <w:rsid w:val="6DA98AF5"/>
    <w:rsid w:val="6DDA835B"/>
    <w:rsid w:val="6DF7B3AA"/>
    <w:rsid w:val="6DF99A12"/>
    <w:rsid w:val="6DFB1288"/>
    <w:rsid w:val="6DFCF019"/>
    <w:rsid w:val="6DFD932B"/>
    <w:rsid w:val="6E67021F"/>
    <w:rsid w:val="6E6BF30B"/>
    <w:rsid w:val="6E7F3370"/>
    <w:rsid w:val="6EA7BF0C"/>
    <w:rsid w:val="6EAE5A2D"/>
    <w:rsid w:val="6EC90E50"/>
    <w:rsid w:val="6ECB7934"/>
    <w:rsid w:val="6EDB55DF"/>
    <w:rsid w:val="6EDFE2D4"/>
    <w:rsid w:val="6EE1EFBA"/>
    <w:rsid w:val="6EE69842"/>
    <w:rsid w:val="6EF76AFD"/>
    <w:rsid w:val="6EF76E47"/>
    <w:rsid w:val="6EF7E048"/>
    <w:rsid w:val="6EFF6889"/>
    <w:rsid w:val="6F1F1883"/>
    <w:rsid w:val="6F3A33BB"/>
    <w:rsid w:val="6F3E142E"/>
    <w:rsid w:val="6F3F8B99"/>
    <w:rsid w:val="6F4FC376"/>
    <w:rsid w:val="6F5FD34E"/>
    <w:rsid w:val="6F691BDC"/>
    <w:rsid w:val="6F6A670D"/>
    <w:rsid w:val="6F6FE56F"/>
    <w:rsid w:val="6F753DE4"/>
    <w:rsid w:val="6F7B7837"/>
    <w:rsid w:val="6F7E9247"/>
    <w:rsid w:val="6F7F4C48"/>
    <w:rsid w:val="6F7F8B94"/>
    <w:rsid w:val="6FBA7E09"/>
    <w:rsid w:val="6FBE9D11"/>
    <w:rsid w:val="6FBEC420"/>
    <w:rsid w:val="6FBF5B68"/>
    <w:rsid w:val="6FBFC606"/>
    <w:rsid w:val="6FC4269D"/>
    <w:rsid w:val="6FC4676F"/>
    <w:rsid w:val="6FD70911"/>
    <w:rsid w:val="6FDF6937"/>
    <w:rsid w:val="6FDFC4C2"/>
    <w:rsid w:val="6FEB0884"/>
    <w:rsid w:val="6FEB1E42"/>
    <w:rsid w:val="6FEF0BA7"/>
    <w:rsid w:val="6FF1A999"/>
    <w:rsid w:val="6FF34867"/>
    <w:rsid w:val="6FF7AC9B"/>
    <w:rsid w:val="6FFAD816"/>
    <w:rsid w:val="6FFB24E1"/>
    <w:rsid w:val="6FFDB840"/>
    <w:rsid w:val="6FFE1E54"/>
    <w:rsid w:val="6FFE2339"/>
    <w:rsid w:val="6FFF2848"/>
    <w:rsid w:val="6FFF5EF7"/>
    <w:rsid w:val="6FFF7354"/>
    <w:rsid w:val="6FFFC54C"/>
    <w:rsid w:val="70FFE6DA"/>
    <w:rsid w:val="711C6EDD"/>
    <w:rsid w:val="713BCF43"/>
    <w:rsid w:val="717E340C"/>
    <w:rsid w:val="71800327"/>
    <w:rsid w:val="71FDED23"/>
    <w:rsid w:val="71FEBDEF"/>
    <w:rsid w:val="71FF41DF"/>
    <w:rsid w:val="71FF81E1"/>
    <w:rsid w:val="72598B51"/>
    <w:rsid w:val="72BA1048"/>
    <w:rsid w:val="72EF2AEB"/>
    <w:rsid w:val="72FEB977"/>
    <w:rsid w:val="73002C03"/>
    <w:rsid w:val="731B7A69"/>
    <w:rsid w:val="73638FCC"/>
    <w:rsid w:val="737BC746"/>
    <w:rsid w:val="73C03E29"/>
    <w:rsid w:val="73C3940C"/>
    <w:rsid w:val="73DD07B7"/>
    <w:rsid w:val="73E399CA"/>
    <w:rsid w:val="73EF234B"/>
    <w:rsid w:val="73EF3DEB"/>
    <w:rsid w:val="73FF2DD7"/>
    <w:rsid w:val="73FF5E4A"/>
    <w:rsid w:val="74435624"/>
    <w:rsid w:val="74B530B7"/>
    <w:rsid w:val="74FB6737"/>
    <w:rsid w:val="74FF0369"/>
    <w:rsid w:val="74FF5181"/>
    <w:rsid w:val="74FF8653"/>
    <w:rsid w:val="755F8934"/>
    <w:rsid w:val="75B72F48"/>
    <w:rsid w:val="75CA04E2"/>
    <w:rsid w:val="75CB4B5C"/>
    <w:rsid w:val="75CF592C"/>
    <w:rsid w:val="75DD35F0"/>
    <w:rsid w:val="75E74381"/>
    <w:rsid w:val="75F71D64"/>
    <w:rsid w:val="75FA40D0"/>
    <w:rsid w:val="75FD558B"/>
    <w:rsid w:val="75FDC643"/>
    <w:rsid w:val="760B4200"/>
    <w:rsid w:val="76641462"/>
    <w:rsid w:val="767B2FFF"/>
    <w:rsid w:val="767C7C44"/>
    <w:rsid w:val="769170E4"/>
    <w:rsid w:val="769B6D97"/>
    <w:rsid w:val="76B685FD"/>
    <w:rsid w:val="76BAE47C"/>
    <w:rsid w:val="76F117DC"/>
    <w:rsid w:val="76F529F6"/>
    <w:rsid w:val="76F619EF"/>
    <w:rsid w:val="76FF1690"/>
    <w:rsid w:val="76FF6392"/>
    <w:rsid w:val="7721C25B"/>
    <w:rsid w:val="7768B19D"/>
    <w:rsid w:val="777DA521"/>
    <w:rsid w:val="777FB5BD"/>
    <w:rsid w:val="77AC72C6"/>
    <w:rsid w:val="77AF18F9"/>
    <w:rsid w:val="77AFB97E"/>
    <w:rsid w:val="77BD714C"/>
    <w:rsid w:val="77BFE5AE"/>
    <w:rsid w:val="77CD572E"/>
    <w:rsid w:val="77DB1B69"/>
    <w:rsid w:val="77DD2B40"/>
    <w:rsid w:val="77DD634A"/>
    <w:rsid w:val="77EEAB48"/>
    <w:rsid w:val="77F446D0"/>
    <w:rsid w:val="77F62696"/>
    <w:rsid w:val="77F73563"/>
    <w:rsid w:val="77F9213F"/>
    <w:rsid w:val="77FB2C44"/>
    <w:rsid w:val="77FBEBA1"/>
    <w:rsid w:val="77FBF74F"/>
    <w:rsid w:val="77FD1CF0"/>
    <w:rsid w:val="77FEE524"/>
    <w:rsid w:val="77FEE6F2"/>
    <w:rsid w:val="77FF6F0E"/>
    <w:rsid w:val="77FFA52A"/>
    <w:rsid w:val="780F0E93"/>
    <w:rsid w:val="78949781"/>
    <w:rsid w:val="78B94796"/>
    <w:rsid w:val="78CF0F78"/>
    <w:rsid w:val="78F7527B"/>
    <w:rsid w:val="79278D9D"/>
    <w:rsid w:val="796D40C9"/>
    <w:rsid w:val="796F9E6C"/>
    <w:rsid w:val="797F6EEC"/>
    <w:rsid w:val="797F8AFF"/>
    <w:rsid w:val="79A67277"/>
    <w:rsid w:val="79AF57E3"/>
    <w:rsid w:val="79C6CEA0"/>
    <w:rsid w:val="79DF2AB8"/>
    <w:rsid w:val="79F45E3B"/>
    <w:rsid w:val="79F9A15D"/>
    <w:rsid w:val="79FB9A10"/>
    <w:rsid w:val="79FEEF1E"/>
    <w:rsid w:val="79FF0C44"/>
    <w:rsid w:val="79FFAE0C"/>
    <w:rsid w:val="7A225F63"/>
    <w:rsid w:val="7A346202"/>
    <w:rsid w:val="7A36307F"/>
    <w:rsid w:val="7A3A6673"/>
    <w:rsid w:val="7A4FC83D"/>
    <w:rsid w:val="7A5BF884"/>
    <w:rsid w:val="7AA7A636"/>
    <w:rsid w:val="7ADF1DE4"/>
    <w:rsid w:val="7AE1E31A"/>
    <w:rsid w:val="7AE4A00D"/>
    <w:rsid w:val="7AF0C7AB"/>
    <w:rsid w:val="7AF327FD"/>
    <w:rsid w:val="7AFB2350"/>
    <w:rsid w:val="7AFDE448"/>
    <w:rsid w:val="7AFFF6F6"/>
    <w:rsid w:val="7B0E0EDC"/>
    <w:rsid w:val="7B37EDB9"/>
    <w:rsid w:val="7B4126CD"/>
    <w:rsid w:val="7B773CF7"/>
    <w:rsid w:val="7B775EB7"/>
    <w:rsid w:val="7B7E283D"/>
    <w:rsid w:val="7B7F273F"/>
    <w:rsid w:val="7B81CC0B"/>
    <w:rsid w:val="7B96CDAC"/>
    <w:rsid w:val="7B9F27D1"/>
    <w:rsid w:val="7BA75C6E"/>
    <w:rsid w:val="7BA92085"/>
    <w:rsid w:val="7BBC6BEE"/>
    <w:rsid w:val="7BBE9B84"/>
    <w:rsid w:val="7BDF426D"/>
    <w:rsid w:val="7BE78946"/>
    <w:rsid w:val="7BEDCDDE"/>
    <w:rsid w:val="7BEF8EB8"/>
    <w:rsid w:val="7BF9C107"/>
    <w:rsid w:val="7BFBD425"/>
    <w:rsid w:val="7BFDABCD"/>
    <w:rsid w:val="7BFDF3A9"/>
    <w:rsid w:val="7BFEEB68"/>
    <w:rsid w:val="7BFFAED8"/>
    <w:rsid w:val="7BFFCB6B"/>
    <w:rsid w:val="7BFFE185"/>
    <w:rsid w:val="7BFFED39"/>
    <w:rsid w:val="7BFFF470"/>
    <w:rsid w:val="7C074744"/>
    <w:rsid w:val="7C2A6510"/>
    <w:rsid w:val="7C5F06EC"/>
    <w:rsid w:val="7C63BB62"/>
    <w:rsid w:val="7C679821"/>
    <w:rsid w:val="7C7DFE56"/>
    <w:rsid w:val="7C83F53C"/>
    <w:rsid w:val="7CB8D5D9"/>
    <w:rsid w:val="7CD01E69"/>
    <w:rsid w:val="7CDF3756"/>
    <w:rsid w:val="7CE363C6"/>
    <w:rsid w:val="7CEEE028"/>
    <w:rsid w:val="7CF7D7E6"/>
    <w:rsid w:val="7D0E7C23"/>
    <w:rsid w:val="7D31E725"/>
    <w:rsid w:val="7D3B7DCB"/>
    <w:rsid w:val="7D3BB8B0"/>
    <w:rsid w:val="7D65D22D"/>
    <w:rsid w:val="7D6F2E15"/>
    <w:rsid w:val="7D7BCE0D"/>
    <w:rsid w:val="7D7F2E67"/>
    <w:rsid w:val="7D898CA2"/>
    <w:rsid w:val="7D8E1283"/>
    <w:rsid w:val="7DAB5EFB"/>
    <w:rsid w:val="7DAF33B1"/>
    <w:rsid w:val="7DB72548"/>
    <w:rsid w:val="7DB776DD"/>
    <w:rsid w:val="7DBBF6CD"/>
    <w:rsid w:val="7DBF7D8F"/>
    <w:rsid w:val="7DC78571"/>
    <w:rsid w:val="7DCC92B9"/>
    <w:rsid w:val="7DCCFDE7"/>
    <w:rsid w:val="7DCE4D70"/>
    <w:rsid w:val="7DD7105B"/>
    <w:rsid w:val="7DDDA5B7"/>
    <w:rsid w:val="7DF373AD"/>
    <w:rsid w:val="7DF73CCC"/>
    <w:rsid w:val="7DF7901D"/>
    <w:rsid w:val="7DF8D08E"/>
    <w:rsid w:val="7DF901B7"/>
    <w:rsid w:val="7DFC82B9"/>
    <w:rsid w:val="7DFCB3E7"/>
    <w:rsid w:val="7DFD341D"/>
    <w:rsid w:val="7DFD7367"/>
    <w:rsid w:val="7DFE2812"/>
    <w:rsid w:val="7DFF09E3"/>
    <w:rsid w:val="7DFF36D1"/>
    <w:rsid w:val="7DFFCB79"/>
    <w:rsid w:val="7E3DF215"/>
    <w:rsid w:val="7E5778ED"/>
    <w:rsid w:val="7E5F82E7"/>
    <w:rsid w:val="7E73E898"/>
    <w:rsid w:val="7E7B1C68"/>
    <w:rsid w:val="7E7BE3B4"/>
    <w:rsid w:val="7E7BF797"/>
    <w:rsid w:val="7E7D590B"/>
    <w:rsid w:val="7E8FD573"/>
    <w:rsid w:val="7E9DE841"/>
    <w:rsid w:val="7E9F10D4"/>
    <w:rsid w:val="7E9F8843"/>
    <w:rsid w:val="7EBEB2E2"/>
    <w:rsid w:val="7ECF05BC"/>
    <w:rsid w:val="7ED9113A"/>
    <w:rsid w:val="7EDAA570"/>
    <w:rsid w:val="7EDC9E0C"/>
    <w:rsid w:val="7EDF3CD0"/>
    <w:rsid w:val="7EDF8303"/>
    <w:rsid w:val="7EE3B93E"/>
    <w:rsid w:val="7EE8A469"/>
    <w:rsid w:val="7EEB7067"/>
    <w:rsid w:val="7EED6B9D"/>
    <w:rsid w:val="7EEF4C85"/>
    <w:rsid w:val="7EF3A179"/>
    <w:rsid w:val="7EF724D1"/>
    <w:rsid w:val="7EF9943D"/>
    <w:rsid w:val="7EFB9BE7"/>
    <w:rsid w:val="7EFBC61D"/>
    <w:rsid w:val="7EFE0B82"/>
    <w:rsid w:val="7F06B3A4"/>
    <w:rsid w:val="7F0F5076"/>
    <w:rsid w:val="7F1ED372"/>
    <w:rsid w:val="7F2FF76B"/>
    <w:rsid w:val="7F3D516E"/>
    <w:rsid w:val="7F3F90DF"/>
    <w:rsid w:val="7F3FDB7C"/>
    <w:rsid w:val="7F5606D5"/>
    <w:rsid w:val="7F57D8CD"/>
    <w:rsid w:val="7F5BC3AB"/>
    <w:rsid w:val="7F5D2495"/>
    <w:rsid w:val="7F76DF1F"/>
    <w:rsid w:val="7F7781F8"/>
    <w:rsid w:val="7F7B4A8E"/>
    <w:rsid w:val="7F7E57A7"/>
    <w:rsid w:val="7F7F39F9"/>
    <w:rsid w:val="7F7F8D25"/>
    <w:rsid w:val="7F7FB9D9"/>
    <w:rsid w:val="7F8FE272"/>
    <w:rsid w:val="7F9D72F6"/>
    <w:rsid w:val="7F9F878E"/>
    <w:rsid w:val="7F9FA57E"/>
    <w:rsid w:val="7FA5B2D6"/>
    <w:rsid w:val="7FAB34E5"/>
    <w:rsid w:val="7FADBA50"/>
    <w:rsid w:val="7FAE541E"/>
    <w:rsid w:val="7FBB95AF"/>
    <w:rsid w:val="7FBBB864"/>
    <w:rsid w:val="7FBBBC36"/>
    <w:rsid w:val="7FBBDFEE"/>
    <w:rsid w:val="7FBBFA41"/>
    <w:rsid w:val="7FBC9C9C"/>
    <w:rsid w:val="7FBDE930"/>
    <w:rsid w:val="7FBE0E5C"/>
    <w:rsid w:val="7FBE5456"/>
    <w:rsid w:val="7FBEAF11"/>
    <w:rsid w:val="7FBF21A9"/>
    <w:rsid w:val="7FBF4F5A"/>
    <w:rsid w:val="7FBF7987"/>
    <w:rsid w:val="7FBF7A1D"/>
    <w:rsid w:val="7FBF9E44"/>
    <w:rsid w:val="7FBFB0D5"/>
    <w:rsid w:val="7FC7787F"/>
    <w:rsid w:val="7FCBCD9B"/>
    <w:rsid w:val="7FCE03C9"/>
    <w:rsid w:val="7FD5C49F"/>
    <w:rsid w:val="7FD78681"/>
    <w:rsid w:val="7FD7D9F6"/>
    <w:rsid w:val="7FDAECE2"/>
    <w:rsid w:val="7FDB0B46"/>
    <w:rsid w:val="7FDC16B8"/>
    <w:rsid w:val="7FDCF8A1"/>
    <w:rsid w:val="7FDDE68A"/>
    <w:rsid w:val="7FDF09FF"/>
    <w:rsid w:val="7FDF4963"/>
    <w:rsid w:val="7FDF4B61"/>
    <w:rsid w:val="7FDF777E"/>
    <w:rsid w:val="7FDF95F9"/>
    <w:rsid w:val="7FDFC1BE"/>
    <w:rsid w:val="7FE270FC"/>
    <w:rsid w:val="7FE38AFD"/>
    <w:rsid w:val="7FE6DCE2"/>
    <w:rsid w:val="7FEBBC33"/>
    <w:rsid w:val="7FEC7409"/>
    <w:rsid w:val="7FEF01D6"/>
    <w:rsid w:val="7FEF4820"/>
    <w:rsid w:val="7FEF72C1"/>
    <w:rsid w:val="7FF330C7"/>
    <w:rsid w:val="7FF3CF94"/>
    <w:rsid w:val="7FF417E7"/>
    <w:rsid w:val="7FF57FF7"/>
    <w:rsid w:val="7FF70D7C"/>
    <w:rsid w:val="7FF760FA"/>
    <w:rsid w:val="7FF761BD"/>
    <w:rsid w:val="7FF7E88C"/>
    <w:rsid w:val="7FF94B2A"/>
    <w:rsid w:val="7FFC21A6"/>
    <w:rsid w:val="7FFC41C5"/>
    <w:rsid w:val="7FFCCCBA"/>
    <w:rsid w:val="7FFD23B9"/>
    <w:rsid w:val="7FFD3B31"/>
    <w:rsid w:val="7FFD3CE5"/>
    <w:rsid w:val="7FFD6383"/>
    <w:rsid w:val="7FFD8345"/>
    <w:rsid w:val="7FFDA1F7"/>
    <w:rsid w:val="7FFDB102"/>
    <w:rsid w:val="7FFDDF02"/>
    <w:rsid w:val="7FFDEBA7"/>
    <w:rsid w:val="7FFE199C"/>
    <w:rsid w:val="7FFE69C7"/>
    <w:rsid w:val="7FFF2484"/>
    <w:rsid w:val="7FFF3C5E"/>
    <w:rsid w:val="7FFF3E78"/>
    <w:rsid w:val="7FFFAFA0"/>
    <w:rsid w:val="7FFFB9D2"/>
    <w:rsid w:val="7FFFBA5E"/>
    <w:rsid w:val="7FFFC5CF"/>
    <w:rsid w:val="7FFFCFB7"/>
    <w:rsid w:val="7FFFE7DF"/>
    <w:rsid w:val="81974CF5"/>
    <w:rsid w:val="81FCBAD0"/>
    <w:rsid w:val="837F45C6"/>
    <w:rsid w:val="866FCC99"/>
    <w:rsid w:val="89CFE25E"/>
    <w:rsid w:val="8BAE4E57"/>
    <w:rsid w:val="8BDA14DC"/>
    <w:rsid w:val="8CDE2851"/>
    <w:rsid w:val="8EB50656"/>
    <w:rsid w:val="8EBD16D9"/>
    <w:rsid w:val="8FFD7C7D"/>
    <w:rsid w:val="9377CC2C"/>
    <w:rsid w:val="94BB80E9"/>
    <w:rsid w:val="954D4C9F"/>
    <w:rsid w:val="95F7625E"/>
    <w:rsid w:val="95FA88DA"/>
    <w:rsid w:val="96CF8BAE"/>
    <w:rsid w:val="96FE935E"/>
    <w:rsid w:val="973F9CEC"/>
    <w:rsid w:val="979B7AB0"/>
    <w:rsid w:val="979F08FC"/>
    <w:rsid w:val="97BBCC64"/>
    <w:rsid w:val="97E5B836"/>
    <w:rsid w:val="97FDC0C3"/>
    <w:rsid w:val="97FDD0BB"/>
    <w:rsid w:val="9AA919E8"/>
    <w:rsid w:val="9AFAC3D2"/>
    <w:rsid w:val="9BBF6A98"/>
    <w:rsid w:val="9DD9F774"/>
    <w:rsid w:val="9DEB3B94"/>
    <w:rsid w:val="9DF798B6"/>
    <w:rsid w:val="9E6D5FBB"/>
    <w:rsid w:val="9E9A0C44"/>
    <w:rsid w:val="9EAB74FA"/>
    <w:rsid w:val="9EFFE525"/>
    <w:rsid w:val="9F3FAA82"/>
    <w:rsid w:val="9F4F4951"/>
    <w:rsid w:val="9F677271"/>
    <w:rsid w:val="9F77B6EC"/>
    <w:rsid w:val="9F7F071C"/>
    <w:rsid w:val="9F9BE958"/>
    <w:rsid w:val="9FAF180F"/>
    <w:rsid w:val="9FD6D02C"/>
    <w:rsid w:val="9FDF465E"/>
    <w:rsid w:val="9FFB0EA0"/>
    <w:rsid w:val="9FFDB206"/>
    <w:rsid w:val="9FFF52D4"/>
    <w:rsid w:val="9FFFE74A"/>
    <w:rsid w:val="A3BF9C67"/>
    <w:rsid w:val="A55FEEA4"/>
    <w:rsid w:val="A5ED64C5"/>
    <w:rsid w:val="A9EDE295"/>
    <w:rsid w:val="A9FBEDDF"/>
    <w:rsid w:val="AAF7CA0C"/>
    <w:rsid w:val="AB17573C"/>
    <w:rsid w:val="AB7DC1DB"/>
    <w:rsid w:val="AB97750F"/>
    <w:rsid w:val="ABDE487E"/>
    <w:rsid w:val="ABFFBC66"/>
    <w:rsid w:val="AC3E0BA4"/>
    <w:rsid w:val="AC7FF54D"/>
    <w:rsid w:val="AD6F7622"/>
    <w:rsid w:val="ADCF353F"/>
    <w:rsid w:val="ADD63B27"/>
    <w:rsid w:val="ADDCA3A7"/>
    <w:rsid w:val="ADE7E214"/>
    <w:rsid w:val="ADF5515D"/>
    <w:rsid w:val="ADFD9279"/>
    <w:rsid w:val="AE63DD91"/>
    <w:rsid w:val="AE7DAB34"/>
    <w:rsid w:val="AEBE11C5"/>
    <w:rsid w:val="AEDDF35B"/>
    <w:rsid w:val="AF165592"/>
    <w:rsid w:val="AF3F65C7"/>
    <w:rsid w:val="AF6B16F1"/>
    <w:rsid w:val="AFBDB14C"/>
    <w:rsid w:val="AFCE2221"/>
    <w:rsid w:val="AFCF1C38"/>
    <w:rsid w:val="AFD927D9"/>
    <w:rsid w:val="AFDE69E6"/>
    <w:rsid w:val="AFDF1581"/>
    <w:rsid w:val="AFF5174B"/>
    <w:rsid w:val="AFFDCBC5"/>
    <w:rsid w:val="AFFF79B3"/>
    <w:rsid w:val="B1BFED84"/>
    <w:rsid w:val="B1E70424"/>
    <w:rsid w:val="B1F8982C"/>
    <w:rsid w:val="B1FF33C2"/>
    <w:rsid w:val="B32F8540"/>
    <w:rsid w:val="B3C77740"/>
    <w:rsid w:val="B3F78D45"/>
    <w:rsid w:val="B477B65D"/>
    <w:rsid w:val="B4D50BAA"/>
    <w:rsid w:val="B4E38AA2"/>
    <w:rsid w:val="B4E777C6"/>
    <w:rsid w:val="B5E96A6E"/>
    <w:rsid w:val="B5FE89F7"/>
    <w:rsid w:val="B6545662"/>
    <w:rsid w:val="B6D7861B"/>
    <w:rsid w:val="B6F61C32"/>
    <w:rsid w:val="B6FDF4F8"/>
    <w:rsid w:val="B77B0C15"/>
    <w:rsid w:val="B77D1AA3"/>
    <w:rsid w:val="B77DEA5E"/>
    <w:rsid w:val="B77F7CF6"/>
    <w:rsid w:val="B79F6E54"/>
    <w:rsid w:val="B7B95C92"/>
    <w:rsid w:val="B7D76E40"/>
    <w:rsid w:val="B7EBA303"/>
    <w:rsid w:val="B7EBCB2B"/>
    <w:rsid w:val="B7EFB7EF"/>
    <w:rsid w:val="B7F7672D"/>
    <w:rsid w:val="B7FF6F49"/>
    <w:rsid w:val="B896E16A"/>
    <w:rsid w:val="B8B7BA94"/>
    <w:rsid w:val="B8FAB0B1"/>
    <w:rsid w:val="B927B65C"/>
    <w:rsid w:val="B9FE24C8"/>
    <w:rsid w:val="B9FF2EE5"/>
    <w:rsid w:val="B9FFA45E"/>
    <w:rsid w:val="B9FFD2A4"/>
    <w:rsid w:val="BA9EDB9F"/>
    <w:rsid w:val="BABF02E1"/>
    <w:rsid w:val="BABF303D"/>
    <w:rsid w:val="BAF4E3FB"/>
    <w:rsid w:val="BB5C1C7C"/>
    <w:rsid w:val="BB7AB0B6"/>
    <w:rsid w:val="BB7FD797"/>
    <w:rsid w:val="BBAE1AAE"/>
    <w:rsid w:val="BBDA42F4"/>
    <w:rsid w:val="BBEF7661"/>
    <w:rsid w:val="BBFD8E77"/>
    <w:rsid w:val="BBFFE1B3"/>
    <w:rsid w:val="BC7E9575"/>
    <w:rsid w:val="BC9DDB51"/>
    <w:rsid w:val="BCDE0D29"/>
    <w:rsid w:val="BD460129"/>
    <w:rsid w:val="BD6F4AA0"/>
    <w:rsid w:val="BD7BA86F"/>
    <w:rsid w:val="BD7DC114"/>
    <w:rsid w:val="BD7F64D3"/>
    <w:rsid w:val="BDBC4BBE"/>
    <w:rsid w:val="BDD7B6BF"/>
    <w:rsid w:val="BDDDE617"/>
    <w:rsid w:val="BDDF4FEC"/>
    <w:rsid w:val="BDE90AA5"/>
    <w:rsid w:val="BE7BE88B"/>
    <w:rsid w:val="BE7D2B53"/>
    <w:rsid w:val="BE7F6A4E"/>
    <w:rsid w:val="BE7FFE46"/>
    <w:rsid w:val="BE953F5E"/>
    <w:rsid w:val="BE986B32"/>
    <w:rsid w:val="BEB7466A"/>
    <w:rsid w:val="BEBF4AB9"/>
    <w:rsid w:val="BEDE6223"/>
    <w:rsid w:val="BEDFCE07"/>
    <w:rsid w:val="BEE88AA3"/>
    <w:rsid w:val="BEEB1F15"/>
    <w:rsid w:val="BEEBD5A5"/>
    <w:rsid w:val="BEF3854B"/>
    <w:rsid w:val="BEFE2391"/>
    <w:rsid w:val="BEFE539A"/>
    <w:rsid w:val="BF419FA2"/>
    <w:rsid w:val="BF4C6A68"/>
    <w:rsid w:val="BF5B6411"/>
    <w:rsid w:val="BF6E4E05"/>
    <w:rsid w:val="BF73E507"/>
    <w:rsid w:val="BF7A4C99"/>
    <w:rsid w:val="BF7AA841"/>
    <w:rsid w:val="BF7E54B6"/>
    <w:rsid w:val="BF8E1636"/>
    <w:rsid w:val="BF8F374A"/>
    <w:rsid w:val="BF9B9393"/>
    <w:rsid w:val="BF9D40EC"/>
    <w:rsid w:val="BFB4B46F"/>
    <w:rsid w:val="BFBA161E"/>
    <w:rsid w:val="BFBDB8B3"/>
    <w:rsid w:val="BFBDEEC8"/>
    <w:rsid w:val="BFCEC1DB"/>
    <w:rsid w:val="BFD66288"/>
    <w:rsid w:val="BFDA27EC"/>
    <w:rsid w:val="BFDD9D11"/>
    <w:rsid w:val="BFDE84E9"/>
    <w:rsid w:val="BFDF340F"/>
    <w:rsid w:val="BFDF40B4"/>
    <w:rsid w:val="BFDF4DC7"/>
    <w:rsid w:val="BFE24BE8"/>
    <w:rsid w:val="BFE7CD7D"/>
    <w:rsid w:val="BFEB7123"/>
    <w:rsid w:val="BFF3B82E"/>
    <w:rsid w:val="BFF666E6"/>
    <w:rsid w:val="BFFA522F"/>
    <w:rsid w:val="BFFB7152"/>
    <w:rsid w:val="BFFD6F3B"/>
    <w:rsid w:val="BFFE2A5B"/>
    <w:rsid w:val="BFFE3654"/>
    <w:rsid w:val="BFFF2B63"/>
    <w:rsid w:val="BFFF4B6E"/>
    <w:rsid w:val="BFFF925B"/>
    <w:rsid w:val="BFFFD570"/>
    <w:rsid w:val="BFFFF1AE"/>
    <w:rsid w:val="C2DB5D73"/>
    <w:rsid w:val="C3BEA96F"/>
    <w:rsid w:val="C3F6DC97"/>
    <w:rsid w:val="C5EBF734"/>
    <w:rsid w:val="C7B2D523"/>
    <w:rsid w:val="C95FAAB8"/>
    <w:rsid w:val="C9918F33"/>
    <w:rsid w:val="CAEE3B36"/>
    <w:rsid w:val="CAF7A20A"/>
    <w:rsid w:val="CB728C37"/>
    <w:rsid w:val="CB993475"/>
    <w:rsid w:val="CBB511A8"/>
    <w:rsid w:val="CBED8B2F"/>
    <w:rsid w:val="CBFF72DA"/>
    <w:rsid w:val="CC492B29"/>
    <w:rsid w:val="CDCE809C"/>
    <w:rsid w:val="CDEFB85F"/>
    <w:rsid w:val="CDF307DB"/>
    <w:rsid w:val="CEEB956D"/>
    <w:rsid w:val="CEF38C2C"/>
    <w:rsid w:val="CF6F03D0"/>
    <w:rsid w:val="CF7A19AD"/>
    <w:rsid w:val="CF7F7419"/>
    <w:rsid w:val="CF7F94F4"/>
    <w:rsid w:val="CFAF19E3"/>
    <w:rsid w:val="CFC7FE93"/>
    <w:rsid w:val="CFEF60AD"/>
    <w:rsid w:val="CFFAAE1D"/>
    <w:rsid w:val="CFFEE8E3"/>
    <w:rsid w:val="D2DFEE51"/>
    <w:rsid w:val="D3337D5E"/>
    <w:rsid w:val="D3A519F2"/>
    <w:rsid w:val="D3BF21D5"/>
    <w:rsid w:val="D3EB0297"/>
    <w:rsid w:val="D43F104C"/>
    <w:rsid w:val="D53B494D"/>
    <w:rsid w:val="D57FF159"/>
    <w:rsid w:val="D59F33A4"/>
    <w:rsid w:val="D5B8CCC3"/>
    <w:rsid w:val="D5D95E5A"/>
    <w:rsid w:val="D5FF48B9"/>
    <w:rsid w:val="D5FFD5FC"/>
    <w:rsid w:val="D6AD7645"/>
    <w:rsid w:val="D6D7AF82"/>
    <w:rsid w:val="D6F7E010"/>
    <w:rsid w:val="D77215E6"/>
    <w:rsid w:val="D774610B"/>
    <w:rsid w:val="D77A5953"/>
    <w:rsid w:val="D783577D"/>
    <w:rsid w:val="D7BF7303"/>
    <w:rsid w:val="D7D7CC61"/>
    <w:rsid w:val="D7E8E021"/>
    <w:rsid w:val="D7EBB2B2"/>
    <w:rsid w:val="D7FE60B3"/>
    <w:rsid w:val="D7FE825C"/>
    <w:rsid w:val="D7FEBAD8"/>
    <w:rsid w:val="D8434AEE"/>
    <w:rsid w:val="D87F249D"/>
    <w:rsid w:val="D9BFC47F"/>
    <w:rsid w:val="D9BFDA02"/>
    <w:rsid w:val="D9F6320C"/>
    <w:rsid w:val="D9FD93F5"/>
    <w:rsid w:val="DA3B266C"/>
    <w:rsid w:val="DA97792F"/>
    <w:rsid w:val="DACF059C"/>
    <w:rsid w:val="DAE76860"/>
    <w:rsid w:val="DAFB0878"/>
    <w:rsid w:val="DAFB2A4A"/>
    <w:rsid w:val="DAFD71DE"/>
    <w:rsid w:val="DAFDE26D"/>
    <w:rsid w:val="DAFE79AF"/>
    <w:rsid w:val="DB7F7932"/>
    <w:rsid w:val="DB9B82C3"/>
    <w:rsid w:val="DBAFFE8E"/>
    <w:rsid w:val="DBC2D83E"/>
    <w:rsid w:val="DBEA329A"/>
    <w:rsid w:val="DBED16C3"/>
    <w:rsid w:val="DBEF37B5"/>
    <w:rsid w:val="DBFF43D6"/>
    <w:rsid w:val="DBFF5433"/>
    <w:rsid w:val="DC7789E0"/>
    <w:rsid w:val="DCFF07B3"/>
    <w:rsid w:val="DD3E2953"/>
    <w:rsid w:val="DD4FE7E9"/>
    <w:rsid w:val="DD5D7594"/>
    <w:rsid w:val="DD7602C4"/>
    <w:rsid w:val="DD8FB20C"/>
    <w:rsid w:val="DDBBDEC4"/>
    <w:rsid w:val="DDDF52B4"/>
    <w:rsid w:val="DDE3C061"/>
    <w:rsid w:val="DDF1D581"/>
    <w:rsid w:val="DDFD8EF4"/>
    <w:rsid w:val="DDFF8B77"/>
    <w:rsid w:val="DDFFBF7E"/>
    <w:rsid w:val="DE224415"/>
    <w:rsid w:val="DE780823"/>
    <w:rsid w:val="DE7DC473"/>
    <w:rsid w:val="DEE6C23E"/>
    <w:rsid w:val="DEE9C6BA"/>
    <w:rsid w:val="DEEE96B0"/>
    <w:rsid w:val="DEF7DF04"/>
    <w:rsid w:val="DEFD100F"/>
    <w:rsid w:val="DEFF76A0"/>
    <w:rsid w:val="DF33F6EA"/>
    <w:rsid w:val="DF657197"/>
    <w:rsid w:val="DF6F1FB6"/>
    <w:rsid w:val="DF733DE8"/>
    <w:rsid w:val="DF7A3567"/>
    <w:rsid w:val="DF7B7C72"/>
    <w:rsid w:val="DF7CB26F"/>
    <w:rsid w:val="DF7DB3A5"/>
    <w:rsid w:val="DF7E4CB0"/>
    <w:rsid w:val="DF7FA7A6"/>
    <w:rsid w:val="DF7FC6A3"/>
    <w:rsid w:val="DF972261"/>
    <w:rsid w:val="DF9BC985"/>
    <w:rsid w:val="DFAEC9DD"/>
    <w:rsid w:val="DFBB3808"/>
    <w:rsid w:val="DFBB41DA"/>
    <w:rsid w:val="DFCED897"/>
    <w:rsid w:val="DFD7B599"/>
    <w:rsid w:val="DFD9266D"/>
    <w:rsid w:val="DFDBA1C6"/>
    <w:rsid w:val="DFDBA381"/>
    <w:rsid w:val="DFDDC7E8"/>
    <w:rsid w:val="DFE5BC71"/>
    <w:rsid w:val="DFE80541"/>
    <w:rsid w:val="DFE93242"/>
    <w:rsid w:val="DFED0C7C"/>
    <w:rsid w:val="DFED9240"/>
    <w:rsid w:val="DFEF8131"/>
    <w:rsid w:val="DFEFD766"/>
    <w:rsid w:val="DFF30D31"/>
    <w:rsid w:val="DFF76BA8"/>
    <w:rsid w:val="DFFB9346"/>
    <w:rsid w:val="DFFBC92E"/>
    <w:rsid w:val="DFFBD49D"/>
    <w:rsid w:val="DFFBE49E"/>
    <w:rsid w:val="DFFC476D"/>
    <w:rsid w:val="DFFCA844"/>
    <w:rsid w:val="DFFDA72F"/>
    <w:rsid w:val="DFFF0356"/>
    <w:rsid w:val="DFFF08FE"/>
    <w:rsid w:val="DFFF1F68"/>
    <w:rsid w:val="DFFF212E"/>
    <w:rsid w:val="DFFF8A47"/>
    <w:rsid w:val="E237F5C1"/>
    <w:rsid w:val="E35D90D1"/>
    <w:rsid w:val="E3BF2571"/>
    <w:rsid w:val="E3CF8C60"/>
    <w:rsid w:val="E3E7A04A"/>
    <w:rsid w:val="E3EE48C9"/>
    <w:rsid w:val="E3F77889"/>
    <w:rsid w:val="E55FB5B1"/>
    <w:rsid w:val="E57F438A"/>
    <w:rsid w:val="E5D6F948"/>
    <w:rsid w:val="E5DE6256"/>
    <w:rsid w:val="E63B127D"/>
    <w:rsid w:val="E6BFA889"/>
    <w:rsid w:val="E6D53DAC"/>
    <w:rsid w:val="E6DF46F8"/>
    <w:rsid w:val="E71FD372"/>
    <w:rsid w:val="E76B293C"/>
    <w:rsid w:val="E7DF24DB"/>
    <w:rsid w:val="E7E74212"/>
    <w:rsid w:val="E7F308D7"/>
    <w:rsid w:val="E7F5E77E"/>
    <w:rsid w:val="E7F9F594"/>
    <w:rsid w:val="E7FB3824"/>
    <w:rsid w:val="E7FDCBC1"/>
    <w:rsid w:val="E7FF24A0"/>
    <w:rsid w:val="E8FFCE7C"/>
    <w:rsid w:val="E907118B"/>
    <w:rsid w:val="E9B77FB0"/>
    <w:rsid w:val="E9CDB310"/>
    <w:rsid w:val="E9DD42FC"/>
    <w:rsid w:val="E9F5BD99"/>
    <w:rsid w:val="E9F7BCA5"/>
    <w:rsid w:val="E9FD504D"/>
    <w:rsid w:val="EA4E3792"/>
    <w:rsid w:val="EAA389D0"/>
    <w:rsid w:val="EAFF70C1"/>
    <w:rsid w:val="EB7733A8"/>
    <w:rsid w:val="EB9525CF"/>
    <w:rsid w:val="EBBDC0E8"/>
    <w:rsid w:val="EBBFE8CD"/>
    <w:rsid w:val="EBEF3723"/>
    <w:rsid w:val="EBF755CC"/>
    <w:rsid w:val="EBF98719"/>
    <w:rsid w:val="EBFD5FFB"/>
    <w:rsid w:val="EBFEF2BB"/>
    <w:rsid w:val="EBFFA6B7"/>
    <w:rsid w:val="EC6FD303"/>
    <w:rsid w:val="ECDA1369"/>
    <w:rsid w:val="ECF32949"/>
    <w:rsid w:val="ECFFD018"/>
    <w:rsid w:val="ED158735"/>
    <w:rsid w:val="ED1EA3B7"/>
    <w:rsid w:val="ED4F03FE"/>
    <w:rsid w:val="ED55763E"/>
    <w:rsid w:val="ED5FA7B6"/>
    <w:rsid w:val="ED6F0C79"/>
    <w:rsid w:val="ED7BA05A"/>
    <w:rsid w:val="ED7BAA1B"/>
    <w:rsid w:val="ED7F217A"/>
    <w:rsid w:val="EDBB0718"/>
    <w:rsid w:val="EDCF8F66"/>
    <w:rsid w:val="EDDDF85B"/>
    <w:rsid w:val="EDDF6846"/>
    <w:rsid w:val="EDDF7CF0"/>
    <w:rsid w:val="EDF72F25"/>
    <w:rsid w:val="EDF75F23"/>
    <w:rsid w:val="EE1F8E66"/>
    <w:rsid w:val="EE731824"/>
    <w:rsid w:val="EE76B8BE"/>
    <w:rsid w:val="EEAB42EC"/>
    <w:rsid w:val="EEAF40BE"/>
    <w:rsid w:val="EEBDCE37"/>
    <w:rsid w:val="EEDF0DA7"/>
    <w:rsid w:val="EEE49002"/>
    <w:rsid w:val="EEE7AD00"/>
    <w:rsid w:val="EEEF087F"/>
    <w:rsid w:val="EEFD847C"/>
    <w:rsid w:val="EEFF484C"/>
    <w:rsid w:val="EF10A059"/>
    <w:rsid w:val="EF3E3D9C"/>
    <w:rsid w:val="EF3F33D9"/>
    <w:rsid w:val="EF5AB207"/>
    <w:rsid w:val="EF698AE2"/>
    <w:rsid w:val="EF9F547D"/>
    <w:rsid w:val="EFBF92C2"/>
    <w:rsid w:val="EFBFC19C"/>
    <w:rsid w:val="EFCB0919"/>
    <w:rsid w:val="EFCC28C7"/>
    <w:rsid w:val="EFD6066D"/>
    <w:rsid w:val="EFD7900F"/>
    <w:rsid w:val="EFDC0BC9"/>
    <w:rsid w:val="EFDD2D47"/>
    <w:rsid w:val="EFDDB7FD"/>
    <w:rsid w:val="EFDDEA58"/>
    <w:rsid w:val="EFE311EF"/>
    <w:rsid w:val="EFE94001"/>
    <w:rsid w:val="EFEB439E"/>
    <w:rsid w:val="EFF3E185"/>
    <w:rsid w:val="EFF62ADC"/>
    <w:rsid w:val="EFF70A57"/>
    <w:rsid w:val="EFF71DEF"/>
    <w:rsid w:val="EFFA7E6F"/>
    <w:rsid w:val="EFFB5B2B"/>
    <w:rsid w:val="EFFBA50F"/>
    <w:rsid w:val="EFFEBE79"/>
    <w:rsid w:val="EFFF2303"/>
    <w:rsid w:val="EFFF9B3C"/>
    <w:rsid w:val="F1FA3686"/>
    <w:rsid w:val="F1FF74CE"/>
    <w:rsid w:val="F1FFC457"/>
    <w:rsid w:val="F1FFD396"/>
    <w:rsid w:val="F1FFFE50"/>
    <w:rsid w:val="F2EF3A0F"/>
    <w:rsid w:val="F2EF3B17"/>
    <w:rsid w:val="F34BC67B"/>
    <w:rsid w:val="F35A7E17"/>
    <w:rsid w:val="F35DE18C"/>
    <w:rsid w:val="F37831F0"/>
    <w:rsid w:val="F37986EA"/>
    <w:rsid w:val="F37EA5D5"/>
    <w:rsid w:val="F3B7C678"/>
    <w:rsid w:val="F3D6F0EA"/>
    <w:rsid w:val="F3E1D16A"/>
    <w:rsid w:val="F3E77833"/>
    <w:rsid w:val="F3E94DA5"/>
    <w:rsid w:val="F3EF4643"/>
    <w:rsid w:val="F3F7E8A6"/>
    <w:rsid w:val="F3FECE85"/>
    <w:rsid w:val="F4F58A43"/>
    <w:rsid w:val="F4FFD21F"/>
    <w:rsid w:val="F55BD45F"/>
    <w:rsid w:val="F56F99FB"/>
    <w:rsid w:val="F58E1C92"/>
    <w:rsid w:val="F5A6680C"/>
    <w:rsid w:val="F5B5986B"/>
    <w:rsid w:val="F5BECCDB"/>
    <w:rsid w:val="F5D64AE1"/>
    <w:rsid w:val="F5D7773B"/>
    <w:rsid w:val="F5EE1907"/>
    <w:rsid w:val="F5F33688"/>
    <w:rsid w:val="F5F70456"/>
    <w:rsid w:val="F676AEA4"/>
    <w:rsid w:val="F68AD0DC"/>
    <w:rsid w:val="F6B7A217"/>
    <w:rsid w:val="F6BFAD99"/>
    <w:rsid w:val="F6C7498B"/>
    <w:rsid w:val="F6CF52FB"/>
    <w:rsid w:val="F6DD2E59"/>
    <w:rsid w:val="F6E6E8C0"/>
    <w:rsid w:val="F6E7AEFD"/>
    <w:rsid w:val="F6EC6D0F"/>
    <w:rsid w:val="F6EF129D"/>
    <w:rsid w:val="F6FD0DE1"/>
    <w:rsid w:val="F6FFAC03"/>
    <w:rsid w:val="F75072D8"/>
    <w:rsid w:val="F76F072D"/>
    <w:rsid w:val="F77DFA55"/>
    <w:rsid w:val="F77F9A35"/>
    <w:rsid w:val="F7A9E0C0"/>
    <w:rsid w:val="F7ABF7CD"/>
    <w:rsid w:val="F7ACBA9F"/>
    <w:rsid w:val="F7B72799"/>
    <w:rsid w:val="F7BD3076"/>
    <w:rsid w:val="F7BF0998"/>
    <w:rsid w:val="F7BF4335"/>
    <w:rsid w:val="F7D5C9AB"/>
    <w:rsid w:val="F7D7370F"/>
    <w:rsid w:val="F7EE77D4"/>
    <w:rsid w:val="F7F68FC3"/>
    <w:rsid w:val="F7F6CD61"/>
    <w:rsid w:val="F7F8F6FF"/>
    <w:rsid w:val="F7F9F01A"/>
    <w:rsid w:val="F7FA77D3"/>
    <w:rsid w:val="F7FB22C7"/>
    <w:rsid w:val="F7FB4E31"/>
    <w:rsid w:val="F7FC27E6"/>
    <w:rsid w:val="F7FDA0A4"/>
    <w:rsid w:val="F7FE7637"/>
    <w:rsid w:val="F7FF89A2"/>
    <w:rsid w:val="F8477A4F"/>
    <w:rsid w:val="F8F72DFE"/>
    <w:rsid w:val="F8FC2B68"/>
    <w:rsid w:val="F9562D92"/>
    <w:rsid w:val="F97EDAE4"/>
    <w:rsid w:val="F99F39F6"/>
    <w:rsid w:val="F99F4305"/>
    <w:rsid w:val="F9AB0E42"/>
    <w:rsid w:val="F9BBD98A"/>
    <w:rsid w:val="F9C9C763"/>
    <w:rsid w:val="F9CCD924"/>
    <w:rsid w:val="F9D69134"/>
    <w:rsid w:val="F9D757DE"/>
    <w:rsid w:val="F9E8C7A7"/>
    <w:rsid w:val="F9FD51F7"/>
    <w:rsid w:val="F9FF10BC"/>
    <w:rsid w:val="F9FF28EE"/>
    <w:rsid w:val="F9FF54A0"/>
    <w:rsid w:val="F9FF70E8"/>
    <w:rsid w:val="F9FFAF56"/>
    <w:rsid w:val="F9FFD80A"/>
    <w:rsid w:val="FA7AC038"/>
    <w:rsid w:val="FA7F4BA4"/>
    <w:rsid w:val="FAB6589D"/>
    <w:rsid w:val="FADFC84A"/>
    <w:rsid w:val="FAE7078A"/>
    <w:rsid w:val="FAF1B536"/>
    <w:rsid w:val="FAF46C59"/>
    <w:rsid w:val="FAF5A6CD"/>
    <w:rsid w:val="FAFA8ED8"/>
    <w:rsid w:val="FAFE1C7E"/>
    <w:rsid w:val="FAFF0936"/>
    <w:rsid w:val="FB173918"/>
    <w:rsid w:val="FB377170"/>
    <w:rsid w:val="FB3B05CE"/>
    <w:rsid w:val="FB4C7A56"/>
    <w:rsid w:val="FB5B5EFF"/>
    <w:rsid w:val="FB5E02F9"/>
    <w:rsid w:val="FB6A7C47"/>
    <w:rsid w:val="FB6D37DB"/>
    <w:rsid w:val="FB6F99F0"/>
    <w:rsid w:val="FB7C83BF"/>
    <w:rsid w:val="FB7F2C08"/>
    <w:rsid w:val="FB7F4E8A"/>
    <w:rsid w:val="FB97582A"/>
    <w:rsid w:val="FBAD7567"/>
    <w:rsid w:val="FBAF4D99"/>
    <w:rsid w:val="FBB3EAF9"/>
    <w:rsid w:val="FBB6275B"/>
    <w:rsid w:val="FBB7F7CE"/>
    <w:rsid w:val="FBBB7EC2"/>
    <w:rsid w:val="FBBD597C"/>
    <w:rsid w:val="FBBD6867"/>
    <w:rsid w:val="FBBF0BE9"/>
    <w:rsid w:val="FBBFFDD2"/>
    <w:rsid w:val="FBDB161D"/>
    <w:rsid w:val="FBDBA40D"/>
    <w:rsid w:val="FBDCDCA7"/>
    <w:rsid w:val="FBDDF2ED"/>
    <w:rsid w:val="FBDED09E"/>
    <w:rsid w:val="FBE99EEE"/>
    <w:rsid w:val="FBEF6697"/>
    <w:rsid w:val="FBF3F68D"/>
    <w:rsid w:val="FBF55F53"/>
    <w:rsid w:val="FBF83CC0"/>
    <w:rsid w:val="FBF93B4E"/>
    <w:rsid w:val="FBFD0261"/>
    <w:rsid w:val="FBFDEBB6"/>
    <w:rsid w:val="FBFE02E4"/>
    <w:rsid w:val="FBFE881D"/>
    <w:rsid w:val="FBFF4009"/>
    <w:rsid w:val="FBFF80A9"/>
    <w:rsid w:val="FBFFD5D6"/>
    <w:rsid w:val="FBFFF43E"/>
    <w:rsid w:val="FC1EF17A"/>
    <w:rsid w:val="FC6FBDA3"/>
    <w:rsid w:val="FC7D388D"/>
    <w:rsid w:val="FCCD4866"/>
    <w:rsid w:val="FCCE63CA"/>
    <w:rsid w:val="FCEA0B3C"/>
    <w:rsid w:val="FCFDC374"/>
    <w:rsid w:val="FCFFC785"/>
    <w:rsid w:val="FD3E76F3"/>
    <w:rsid w:val="FD62293B"/>
    <w:rsid w:val="FD6A2F07"/>
    <w:rsid w:val="FD6BA162"/>
    <w:rsid w:val="FD6F909C"/>
    <w:rsid w:val="FD7C0659"/>
    <w:rsid w:val="FD7F4552"/>
    <w:rsid w:val="FD9EBA82"/>
    <w:rsid w:val="FDA6A2E6"/>
    <w:rsid w:val="FDB9615D"/>
    <w:rsid w:val="FDBFDA2D"/>
    <w:rsid w:val="FDC73F73"/>
    <w:rsid w:val="FDDE9976"/>
    <w:rsid w:val="FDDF1878"/>
    <w:rsid w:val="FDDFF28F"/>
    <w:rsid w:val="FDEAA156"/>
    <w:rsid w:val="FDEF346A"/>
    <w:rsid w:val="FDEFB8A1"/>
    <w:rsid w:val="FDF5D296"/>
    <w:rsid w:val="FDF79965"/>
    <w:rsid w:val="FDF7F7EF"/>
    <w:rsid w:val="FDFA8F03"/>
    <w:rsid w:val="FDFB0F64"/>
    <w:rsid w:val="FDFC73C7"/>
    <w:rsid w:val="FDFDB1CF"/>
    <w:rsid w:val="FDFDCA57"/>
    <w:rsid w:val="FDFEDB19"/>
    <w:rsid w:val="FDFF3899"/>
    <w:rsid w:val="FDFFA644"/>
    <w:rsid w:val="FDFFB0AB"/>
    <w:rsid w:val="FE17FAF7"/>
    <w:rsid w:val="FE2F741F"/>
    <w:rsid w:val="FE3A3557"/>
    <w:rsid w:val="FE53D296"/>
    <w:rsid w:val="FE7A60F0"/>
    <w:rsid w:val="FE7E7ADF"/>
    <w:rsid w:val="FE7EF501"/>
    <w:rsid w:val="FE7F27C0"/>
    <w:rsid w:val="FE7F8611"/>
    <w:rsid w:val="FE8FDC47"/>
    <w:rsid w:val="FE93B55E"/>
    <w:rsid w:val="FE9F3C5C"/>
    <w:rsid w:val="FEAB1C02"/>
    <w:rsid w:val="FEB6E967"/>
    <w:rsid w:val="FEBA7008"/>
    <w:rsid w:val="FEBB4663"/>
    <w:rsid w:val="FEBD0E76"/>
    <w:rsid w:val="FEBDE084"/>
    <w:rsid w:val="FEBF1449"/>
    <w:rsid w:val="FEBF6B1A"/>
    <w:rsid w:val="FEBFAC37"/>
    <w:rsid w:val="FEE16DC1"/>
    <w:rsid w:val="FEED325A"/>
    <w:rsid w:val="FEED9775"/>
    <w:rsid w:val="FEEF11B3"/>
    <w:rsid w:val="FEEFE54C"/>
    <w:rsid w:val="FEF0B055"/>
    <w:rsid w:val="FEF3D9A8"/>
    <w:rsid w:val="FEF496C1"/>
    <w:rsid w:val="FEF7DE7D"/>
    <w:rsid w:val="FEFA989B"/>
    <w:rsid w:val="FEFAD0BB"/>
    <w:rsid w:val="FEFBCB97"/>
    <w:rsid w:val="FEFD3426"/>
    <w:rsid w:val="FEFE10C5"/>
    <w:rsid w:val="FEFE7C68"/>
    <w:rsid w:val="FEFE94E0"/>
    <w:rsid w:val="FEFF70E4"/>
    <w:rsid w:val="FEFF73BB"/>
    <w:rsid w:val="FEFF9836"/>
    <w:rsid w:val="FEFFCEF1"/>
    <w:rsid w:val="FF0BD44E"/>
    <w:rsid w:val="FF2BCAB4"/>
    <w:rsid w:val="FF3AFCBD"/>
    <w:rsid w:val="FF3B5FF8"/>
    <w:rsid w:val="FF5F523C"/>
    <w:rsid w:val="FF618D47"/>
    <w:rsid w:val="FF64A640"/>
    <w:rsid w:val="FF6EAA89"/>
    <w:rsid w:val="FF6F183A"/>
    <w:rsid w:val="FF6F5B88"/>
    <w:rsid w:val="FF6F63B1"/>
    <w:rsid w:val="FF6FADD3"/>
    <w:rsid w:val="FF6FFCC1"/>
    <w:rsid w:val="FF7516A8"/>
    <w:rsid w:val="FF766393"/>
    <w:rsid w:val="FF77BC82"/>
    <w:rsid w:val="FF7B3DE8"/>
    <w:rsid w:val="FF7C03DC"/>
    <w:rsid w:val="FF7DE231"/>
    <w:rsid w:val="FF7E2C6F"/>
    <w:rsid w:val="FF7EE494"/>
    <w:rsid w:val="FF7F48CF"/>
    <w:rsid w:val="FF7F4A56"/>
    <w:rsid w:val="FF7F6419"/>
    <w:rsid w:val="FF7F9F54"/>
    <w:rsid w:val="FF7FB1EF"/>
    <w:rsid w:val="FF7FCAE2"/>
    <w:rsid w:val="FF83A891"/>
    <w:rsid w:val="FF8BB468"/>
    <w:rsid w:val="FF8BB96D"/>
    <w:rsid w:val="FF9B7CD8"/>
    <w:rsid w:val="FF9E3318"/>
    <w:rsid w:val="FF9FCCD2"/>
    <w:rsid w:val="FFA3275B"/>
    <w:rsid w:val="FFA64D7A"/>
    <w:rsid w:val="FFAB3ECE"/>
    <w:rsid w:val="FFAE7162"/>
    <w:rsid w:val="FFAFEAE0"/>
    <w:rsid w:val="FFBC6E31"/>
    <w:rsid w:val="FFBD64C8"/>
    <w:rsid w:val="FFBDA264"/>
    <w:rsid w:val="FFBEE3BE"/>
    <w:rsid w:val="FFBF2207"/>
    <w:rsid w:val="FFBF8656"/>
    <w:rsid w:val="FFC23D8D"/>
    <w:rsid w:val="FFCAD5F0"/>
    <w:rsid w:val="FFCB24F2"/>
    <w:rsid w:val="FFCF3B17"/>
    <w:rsid w:val="FFD64A16"/>
    <w:rsid w:val="FFD6E123"/>
    <w:rsid w:val="FFD785E3"/>
    <w:rsid w:val="FFD7ABFE"/>
    <w:rsid w:val="FFDB8BFC"/>
    <w:rsid w:val="FFDC548D"/>
    <w:rsid w:val="FFDEDBC9"/>
    <w:rsid w:val="FFDEDC5C"/>
    <w:rsid w:val="FFDF2B19"/>
    <w:rsid w:val="FFDF48FC"/>
    <w:rsid w:val="FFDF7146"/>
    <w:rsid w:val="FFDFA779"/>
    <w:rsid w:val="FFE5BF9D"/>
    <w:rsid w:val="FFE5C057"/>
    <w:rsid w:val="FFEB6A20"/>
    <w:rsid w:val="FFEBF174"/>
    <w:rsid w:val="FFEBF808"/>
    <w:rsid w:val="FFED4A9F"/>
    <w:rsid w:val="FFEF0204"/>
    <w:rsid w:val="FFEF0211"/>
    <w:rsid w:val="FFEF38EA"/>
    <w:rsid w:val="FFEF5008"/>
    <w:rsid w:val="FFF11337"/>
    <w:rsid w:val="FFF29811"/>
    <w:rsid w:val="FFF30EE4"/>
    <w:rsid w:val="FFF37CC8"/>
    <w:rsid w:val="FFF39CF6"/>
    <w:rsid w:val="FFF3CB99"/>
    <w:rsid w:val="FFF58C73"/>
    <w:rsid w:val="FFF713CD"/>
    <w:rsid w:val="FFF977B7"/>
    <w:rsid w:val="FFFA130D"/>
    <w:rsid w:val="FFFB5E91"/>
    <w:rsid w:val="FFFB5F04"/>
    <w:rsid w:val="FFFBD25A"/>
    <w:rsid w:val="FFFCA0F1"/>
    <w:rsid w:val="FFFCDA7C"/>
    <w:rsid w:val="FFFD0F57"/>
    <w:rsid w:val="FFFD10EF"/>
    <w:rsid w:val="FFFD60EF"/>
    <w:rsid w:val="FFFDA487"/>
    <w:rsid w:val="FFFE4034"/>
    <w:rsid w:val="FFFEE731"/>
    <w:rsid w:val="FFFF0E85"/>
    <w:rsid w:val="FFFF4362"/>
    <w:rsid w:val="FFFF64D9"/>
    <w:rsid w:val="FFFF8162"/>
    <w:rsid w:val="FFFF94A0"/>
    <w:rsid w:val="FFFFA6DC"/>
    <w:rsid w:val="FFFFB19C"/>
    <w:rsid w:val="FFFFB974"/>
    <w:rsid w:val="FFFFBED0"/>
    <w:rsid w:val="FFFFE2BC"/>
    <w:rsid w:val="FFFFF0B4"/>
    <w:rsid w:val="FFFFF9F0"/>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84</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2025-09-01T03:50:00Z</dcterms:created>
  <dc:creator>聂泉源</dc:creator>
  <cp:lastModifiedBy>gxxc</cp:lastModifiedBy>
  <cp:lastPrinted>2025-10-14T22:08:00Z</cp:lastPrinted>
  <dcterms:modified xsi:type="dcterms:W3CDTF">2025-11-07T17:56:56Z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